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800BC8D">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sz w:val="32"/>
          <w:szCs w:val="40"/>
        </w:rPr>
      </w:pPr>
      <w:r>
        <w:rPr>
          <w:rFonts w:hint="eastAsia"/>
          <w:sz w:val="32"/>
          <w:szCs w:val="40"/>
        </w:rPr>
        <w:t>《船舶救生艇抛投试验数字化评估指南》</w:t>
      </w:r>
    </w:p>
    <w:p w14:paraId="24A43170">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sz w:val="32"/>
          <w:szCs w:val="40"/>
        </w:rPr>
      </w:pPr>
      <w:r>
        <w:rPr>
          <w:rFonts w:hint="eastAsia"/>
          <w:sz w:val="32"/>
          <w:szCs w:val="40"/>
        </w:rPr>
        <w:t>简要编写说明</w:t>
      </w:r>
    </w:p>
    <w:p w14:paraId="22DBFBEB">
      <w:pPr>
        <w:pStyle w:val="2"/>
        <w:bidi w:val="0"/>
        <w:rPr>
          <w:rFonts w:hint="eastAsia"/>
        </w:rPr>
      </w:pPr>
      <w:r>
        <w:rPr>
          <w:rFonts w:hint="eastAsia"/>
        </w:rPr>
        <w:t>一、背景与目的</w:t>
      </w:r>
    </w:p>
    <w:p w14:paraId="10F1A466">
      <w:pPr>
        <w:rPr>
          <w:rFonts w:hint="eastAsia"/>
        </w:rPr>
      </w:pPr>
      <w:r>
        <w:rPr>
          <w:rFonts w:hint="eastAsia"/>
        </w:rPr>
        <w:t>船舶救生艇是船舶遇险时用于保障乘员生命安全的重要设备。为了确保自由投落救生艇在抛投时人员的安全性，LSA规则要求救生艇载足全部乘员及属具后能安全降落水中，自由降落救生艇从至少相当于其自由降落核准高度1.3倍的高度上降落。救生艇型式试验如果采用真人试验则存在一定的安全风险，并且这个安全风险随着船舶大型化后救生艇投落高度的增加而不断增大。国内救生艇型式试验时一般情况下都采用沙袋等相关重物替代真人试验，对于加速度试验时，加速度传感器安装在艇座位上进行测量。型式试验后，产品检验一般不进行投落试验，只有当产品的型式试验高度低于出厂产品的高度时，需要进行投落试验，该试验也是配重进行。</w:t>
      </w:r>
    </w:p>
    <w:p w14:paraId="2A3EEF7F">
      <w:pPr>
        <w:rPr>
          <w:rFonts w:hint="eastAsia"/>
        </w:rPr>
      </w:pPr>
      <w:r>
        <w:rPr>
          <w:rFonts w:hint="eastAsia"/>
        </w:rPr>
        <w:t>近年来，计算流体力学（CFD）方法在船舶入水砰击问题中的应用日趋成熟，重叠网格技术、VOF两相流方法及六自由度运动求解器的结合使得救生艇抛投入水全过程的高精度数值仿真成为可能。国内外已有学者采用CFD方法对救生艇入水砰击载荷和运动响应开展研究，并通过与物理试验的对比验证了数值方法的有效性。</w:t>
      </w:r>
    </w:p>
    <w:p w14:paraId="02814617">
      <w:pPr>
        <w:rPr>
          <w:rFonts w:hint="eastAsia"/>
        </w:rPr>
      </w:pPr>
      <w:r>
        <w:rPr>
          <w:rFonts w:hint="eastAsia"/>
        </w:rPr>
        <w:t>为此，中国船级社依托相关科研成果和工程实践经验，编制了《船舶救生艇抛投试验数字化评估指南》（以下简称“本指南”），旨在为自由抛投式救生艇抛投试验提供基于CFD的数字化评估方法。通过数值仿真预报救生艇抛投入水过程中的砰击载荷、六自由度运动响应及冲击加速度等关键指标，为替代真人试验和大型化船舶救生艇的抛投物理试验提供技术依据。</w:t>
      </w:r>
      <w:bookmarkStart w:id="0" w:name="_GoBack"/>
      <w:bookmarkEnd w:id="0"/>
    </w:p>
    <w:p w14:paraId="7147F314">
      <w:pPr>
        <w:pStyle w:val="2"/>
        <w:bidi w:val="0"/>
        <w:rPr>
          <w:rFonts w:hint="eastAsia"/>
        </w:rPr>
      </w:pPr>
      <w:r>
        <w:rPr>
          <w:rFonts w:hint="eastAsia"/>
          <w:lang w:val="en-US" w:eastAsia="zh-CN"/>
        </w:rPr>
        <w:t>二</w:t>
      </w:r>
      <w:r>
        <w:rPr>
          <w:rFonts w:hint="eastAsia"/>
        </w:rPr>
        <w:t>、主要技术内容</w:t>
      </w:r>
    </w:p>
    <w:p w14:paraId="3465928F">
      <w:pPr>
        <w:rPr>
          <w:rFonts w:hint="eastAsia"/>
        </w:rPr>
      </w:pPr>
      <w:r>
        <w:rPr>
          <w:rFonts w:hint="eastAsia"/>
        </w:rPr>
        <w:t>本指南共5章和1个附录，主要内容如下：</w:t>
      </w:r>
    </w:p>
    <w:p w14:paraId="7ACF59C2">
      <w:pPr>
        <w:rPr>
          <w:rFonts w:hint="eastAsia"/>
        </w:rPr>
      </w:pPr>
      <w:r>
        <w:rPr>
          <w:rFonts w:hint="eastAsia"/>
        </w:rPr>
        <w:t>第1章 一般要求</w:t>
      </w:r>
    </w:p>
    <w:p w14:paraId="3FDEE398">
      <w:pPr>
        <w:rPr>
          <w:rFonts w:hint="eastAsia"/>
        </w:rPr>
      </w:pPr>
      <w:r>
        <w:rPr>
          <w:rFonts w:hint="eastAsia"/>
        </w:rPr>
        <w:t>明确本指南的适用范围、定义及图纸资料要求。</w:t>
      </w:r>
    </w:p>
    <w:p w14:paraId="59C249E5">
      <w:pPr>
        <w:rPr>
          <w:rFonts w:hint="eastAsia"/>
        </w:rPr>
      </w:pPr>
      <w:r>
        <w:rPr>
          <w:rFonts w:hint="eastAsia"/>
        </w:rPr>
        <w:t>第2章 数值模型</w:t>
      </w:r>
    </w:p>
    <w:p w14:paraId="7BB6054E">
      <w:pPr>
        <w:rPr>
          <w:rFonts w:hint="eastAsia"/>
        </w:rPr>
      </w:pPr>
      <w:r>
        <w:rPr>
          <w:rFonts w:hint="eastAsia"/>
        </w:rPr>
        <w:t>规定CFD数值模型的建立要求</w:t>
      </w:r>
      <w:r>
        <w:rPr>
          <w:rFonts w:hint="eastAsia"/>
          <w:lang w:eastAsia="zh-CN"/>
        </w:rPr>
        <w:t>，</w:t>
      </w:r>
      <w:r>
        <w:rPr>
          <w:rFonts w:hint="eastAsia"/>
        </w:rPr>
        <w:t>包括几何模型的精度校核、计算域与边界条件设置、网格划分原则、VOF多相流与自由面捕捉方法、湍流模型选择、六自由度运动方程、离散方案与求解算法、时间步长与收敛性判据。</w:t>
      </w:r>
    </w:p>
    <w:p w14:paraId="3AC803E7">
      <w:pPr>
        <w:rPr>
          <w:rFonts w:hint="eastAsia"/>
        </w:rPr>
      </w:pPr>
      <w:r>
        <w:rPr>
          <w:rFonts w:hint="eastAsia"/>
        </w:rPr>
        <w:t>第3章 评估流程与计算方法</w:t>
      </w:r>
    </w:p>
    <w:p w14:paraId="78B18209">
      <w:pPr>
        <w:rPr>
          <w:rFonts w:hint="eastAsia"/>
        </w:rPr>
      </w:pPr>
      <w:r>
        <w:rPr>
          <w:rFonts w:hint="eastAsia"/>
        </w:rPr>
        <w:t>规定救生艇抛投试验数字化评估的总体流程以及计算工况的设置要求。</w:t>
      </w:r>
    </w:p>
    <w:p w14:paraId="0AA9F972">
      <w:pPr>
        <w:rPr>
          <w:rFonts w:hint="eastAsia"/>
        </w:rPr>
      </w:pPr>
      <w:r>
        <w:rPr>
          <w:rFonts w:hint="eastAsia"/>
        </w:rPr>
        <w:t>第4章 验证与确认</w:t>
      </w:r>
    </w:p>
    <w:p w14:paraId="612AACA2">
      <w:pPr>
        <w:rPr>
          <w:rFonts w:hint="eastAsia"/>
        </w:rPr>
      </w:pPr>
      <w:r>
        <w:rPr>
          <w:rFonts w:hint="eastAsia"/>
        </w:rPr>
        <w:t>规定CFD方法的验证要求。</w:t>
      </w:r>
    </w:p>
    <w:p w14:paraId="0847EEA4">
      <w:pPr>
        <w:rPr>
          <w:rFonts w:hint="eastAsia"/>
        </w:rPr>
      </w:pPr>
      <w:r>
        <w:rPr>
          <w:rFonts w:hint="eastAsia"/>
        </w:rPr>
        <w:t>第5章 报告要求</w:t>
      </w:r>
    </w:p>
    <w:p w14:paraId="02FFA8D8">
      <w:pPr>
        <w:rPr>
          <w:rFonts w:hint="eastAsia"/>
        </w:rPr>
      </w:pPr>
      <w:r>
        <w:rPr>
          <w:rFonts w:hint="eastAsia"/>
        </w:rPr>
        <w:t>规定评估报告的编制要求</w:t>
      </w:r>
      <w:r>
        <w:rPr>
          <w:rFonts w:hint="eastAsia"/>
          <w:lang w:eastAsia="zh-CN"/>
        </w:rPr>
        <w:t>，</w:t>
      </w:r>
      <w:r>
        <w:rPr>
          <w:rFonts w:hint="eastAsia"/>
        </w:rPr>
        <w:t>包括简介与目标、图纸资料、艇型描述、CFD软件及版本、数值模型说明与验证、评估结果、结论与建议等内容。</w:t>
      </w:r>
    </w:p>
    <w:p w14:paraId="633FF562">
      <w:pPr>
        <w:rPr>
          <w:rFonts w:hint="eastAsia"/>
        </w:rPr>
      </w:pPr>
      <w:r>
        <w:rPr>
          <w:rFonts w:hint="eastAsia"/>
        </w:rPr>
        <w:t>附录 报告模板</w:t>
      </w:r>
    </w:p>
    <w:p w14:paraId="1B9CC9D8">
      <w:pPr>
        <w:rPr>
          <w:rFonts w:hint="eastAsia" w:eastAsiaTheme="minorEastAsia"/>
          <w:lang w:eastAsia="zh-CN"/>
        </w:rPr>
      </w:pPr>
      <w:r>
        <w:rPr>
          <w:rFonts w:hint="eastAsia"/>
        </w:rPr>
        <w:t>提供评估报告的参考格式，便于用户参照执行</w:t>
      </w:r>
      <w:r>
        <w:rPr>
          <w:rFonts w:hint="eastAsia"/>
          <w:lang w:eastAsia="zh-CN"/>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var(--dsw-font-markdown-h1)">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ar(--dsw-font-markdown-h2)">
    <w:altName w:val="Segoe Print"/>
    <w:panose1 w:val="00000000000000000000"/>
    <w:charset w:val="00"/>
    <w:family w:val="auto"/>
    <w:pitch w:val="default"/>
    <w:sig w:usb0="00000000" w:usb1="00000000" w:usb2="00000000" w:usb3="00000000" w:csb0="00000000" w:csb1="00000000"/>
  </w:font>
  <w:font w:name="var(--dsw-font-xxxs-strong-11)">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Calibri Light">
    <w:panose1 w:val="020F0302020204030204"/>
    <w:charset w:val="00"/>
    <w:family w:val="auto"/>
    <w:pitch w:val="default"/>
    <w:sig w:usb0="E0002A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6E74E3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640" w:firstLineChars="200"/>
      <w:jc w:val="both"/>
    </w:pPr>
    <w:rPr>
      <w:rFonts w:asciiTheme="minorAscii" w:hAnsiTheme="minorAscii" w:eastAsiaTheme="minorEastAsia" w:cstheme="minorBidi"/>
      <w:kern w:val="2"/>
      <w:sz w:val="24"/>
      <w:szCs w:val="24"/>
      <w:lang w:val="en-US" w:eastAsia="zh-CN" w:bidi="ar-SA"/>
    </w:rPr>
  </w:style>
  <w:style w:type="paragraph" w:styleId="2">
    <w:name w:val="heading 1"/>
    <w:basedOn w:val="1"/>
    <w:next w:val="1"/>
    <w:qFormat/>
    <w:uiPriority w:val="0"/>
    <w:pPr>
      <w:spacing w:before="50" w:beforeLines="50" w:beforeAutospacing="0" w:after="50" w:afterLines="50" w:afterAutospacing="0" w:line="360" w:lineRule="auto"/>
      <w:ind w:firstLine="0" w:firstLineChars="0"/>
      <w:jc w:val="left"/>
      <w:outlineLvl w:val="0"/>
    </w:pPr>
    <w:rPr>
      <w:rFonts w:hint="eastAsia" w:ascii="宋体" w:hAnsi="宋体" w:eastAsia="宋体" w:cs="宋体"/>
      <w:b/>
      <w:bCs/>
      <w:kern w:val="44"/>
      <w:sz w:val="28"/>
      <w:szCs w:val="48"/>
      <w:lang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rPr>
      <w:sz w:val="24"/>
    </w:rPr>
  </w:style>
  <w:style w:type="character" w:styleId="7">
    <w:name w:val="Hyperlink"/>
    <w:basedOn w:val="6"/>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TotalTime>
  <ScaleCrop>false</ScaleCrop>
  <LinksUpToDate>false</LinksUpToDate>
  <CharactersWithSpaces>0</CharactersWithSpaces>
  <Application>WPS Office_12.1.0.25860_F1E327BC-269C-435d-A152-05C5408002CA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2026-07-28T15:24:27Z</dcterms:created>
  <dc:creator>user</dc:creator>
  <cp:lastModifiedBy>user</cp:lastModifiedBy>
  <dcterms:modified xsi:type="dcterms:W3CDTF">2026-07-28T15:39:00Z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2052-12.1.0.25860</vt:lpwstr>
  </property>
  <property fmtid="{D5CDD505-2E9C-101B-9397-08002B2CF9AE}" pid="3" name="KSOTemplateDocerSaveRecord">
    <vt:lpwstr>eyJoZGlkIjoiYjk4NTJmNzBkYzUzMzExMjYyODMyN2M4MzM1YjkyZTEiLCJ1c2VySWQiOiIxNzg5MjU2ODM0In0=</vt:lpwstr>
  </property>
  <property fmtid="{D5CDD505-2E9C-101B-9397-08002B2CF9AE}" pid="4" name="ICV">
    <vt:lpwstr>EA1262BDF1144387B3B60F77091D1687_12</vt:lpwstr>
  </property>
</Properties>
</file>