
<file path=[Content_Types].xml><?xml version="1.0" encoding="utf-8"?>
<Types xmlns="http://schemas.openxmlformats.org/package/2006/content-types">
  <Default Extension="xml" ContentType="application/xml"/>
  <Default Extension="bin" ContentType="application/vnd.openxmlformats-officedocument.oleObject"/>
  <Default Extension="tiff" ContentType="image/tiff"/>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837D8A">
      <w:pPr>
        <w:keepNext w:val="0"/>
        <w:keepLines w:val="0"/>
        <w:pageBreakBefore w:val="0"/>
        <w:widowControl/>
        <w:tabs>
          <w:tab w:val="center" w:pos="4154"/>
        </w:tabs>
        <w:kinsoku/>
        <w:wordWrap/>
        <w:overflowPunct/>
        <w:topLinePunct w:val="0"/>
        <w:autoSpaceDE/>
        <w:autoSpaceDN/>
        <w:bidi w:val="0"/>
        <w:adjustRightInd/>
        <w:snapToGrid/>
        <w:spacing w:line="240" w:lineRule="auto"/>
        <w:jc w:val="center"/>
        <w:textAlignment w:val="auto"/>
        <w:outlineLvl w:val="0"/>
        <w:rPr>
          <w:rFonts w:ascii="Times New Roman" w:hAnsi="Times New Roman" w:cs="Times New Roman"/>
          <w:color w:val="FFFFFF" w:themeColor="background1"/>
          <w:szCs w:val="21"/>
          <w14:textFill>
            <w14:solidFill>
              <w14:schemeClr w14:val="bg1"/>
            </w14:solidFill>
          </w14:textFill>
        </w:rPr>
      </w:pPr>
      <w:bookmarkStart w:id="41" w:name="_GoBack"/>
      <w:bookmarkEnd w:id="41"/>
      <w:r>
        <w:rPr>
          <w:color w:val="FFFFFF" w:themeColor="background1"/>
          <w:sz w:val="22"/>
          <w14:textFill>
            <w14:solidFill>
              <w14:schemeClr w14:val="bg1"/>
            </w14:solidFill>
          </w14:textFill>
        </w:rPr>
        <mc:AlternateContent>
          <mc:Choice Requires="wps">
            <w:drawing>
              <wp:anchor distT="0" distB="0" distL="114300" distR="114300" simplePos="0" relativeHeight="251660288" behindDoc="0" locked="0" layoutInCell="1" allowOverlap="1">
                <wp:simplePos x="0" y="0"/>
                <wp:positionH relativeFrom="column">
                  <wp:posOffset>4025265</wp:posOffset>
                </wp:positionH>
                <wp:positionV relativeFrom="paragraph">
                  <wp:posOffset>-1270</wp:posOffset>
                </wp:positionV>
                <wp:extent cx="1460500" cy="779780"/>
                <wp:effectExtent l="0" t="0" r="6350" b="1270"/>
                <wp:wrapNone/>
                <wp:docPr id="38" name="文本框 38"/>
                <wp:cNvGraphicFramePr/>
                <a:graphic xmlns:a="http://schemas.openxmlformats.org/drawingml/2006/main">
                  <a:graphicData uri="http://schemas.microsoft.com/office/word/2010/wordprocessingShape">
                    <wps:wsp>
                      <wps:cNvSpPr txBox="1"/>
                      <wps:spPr>
                        <a:xfrm>
                          <a:off x="4892040" y="1036955"/>
                          <a:ext cx="1460500" cy="779780"/>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14:paraId="72C33DD6">
                            <w:pPr>
                              <w:jc w:val="center"/>
                              <w:rPr>
                                <w:rFonts w:ascii="Times New Roman" w:hAnsi="Times New Roman" w:eastAsia="黑体" w:cs="Times New Roman"/>
                                <w:color w:val="231F20"/>
                                <w:kern w:val="0"/>
                                <w:sz w:val="24"/>
                                <w:lang w:bidi="ar"/>
                              </w:rPr>
                            </w:pPr>
                            <w:r>
                              <w:rPr>
                                <w:rFonts w:ascii="Times New Roman" w:hAnsi="Times New Roman" w:eastAsia="黑体" w:cs="Times New Roman"/>
                                <w:color w:val="231F20"/>
                                <w:kern w:val="0"/>
                                <w:sz w:val="24"/>
                                <w:lang w:bidi="ar"/>
                              </w:rPr>
                              <w:t>指导性文件</w:t>
                            </w:r>
                          </w:p>
                          <w:p w14:paraId="244C46F0">
                            <w:pPr>
                              <w:ind w:left="19" w:hanging="19" w:hangingChars="8"/>
                              <w:jc w:val="center"/>
                              <w:rPr>
                                <w:rFonts w:hint="default" w:ascii="Times New Roman" w:hAnsi="Times New Roman" w:eastAsia="黑体" w:cs="Times New Roman"/>
                                <w:color w:val="231F20"/>
                                <w:kern w:val="0"/>
                                <w:sz w:val="24"/>
                                <w:lang w:val="en-US" w:eastAsia="zh-CN" w:bidi="ar"/>
                              </w:rPr>
                            </w:pPr>
                            <w:r>
                              <w:rPr>
                                <w:rFonts w:ascii="Times New Roman" w:hAnsi="Times New Roman" w:eastAsia="黑体" w:cs="Times New Roman"/>
                                <w:color w:val="231F20"/>
                                <w:kern w:val="0"/>
                                <w:sz w:val="24"/>
                                <w:lang w:bidi="ar"/>
                              </w:rPr>
                              <w:t>GD</w:t>
                            </w:r>
                            <w:r>
                              <w:rPr>
                                <w:rFonts w:hint="eastAsia" w:ascii="Times New Roman" w:hAnsi="Times New Roman" w:eastAsia="黑体" w:cs="Times New Roman"/>
                                <w:color w:val="231F20"/>
                                <w:kern w:val="0"/>
                                <w:sz w:val="24"/>
                                <w:lang w:val="en-US" w:eastAsia="zh-CN" w:bidi="ar"/>
                              </w:rPr>
                              <w:t>***</w:t>
                            </w:r>
                            <w:r>
                              <w:rPr>
                                <w:rFonts w:ascii="Times New Roman" w:hAnsi="Times New Roman" w:eastAsia="黑体" w:cs="Times New Roman"/>
                                <w:color w:val="231F20"/>
                                <w:kern w:val="0"/>
                                <w:sz w:val="24"/>
                                <w:lang w:bidi="ar"/>
                              </w:rPr>
                              <w:t>-</w:t>
                            </w:r>
                            <w:r>
                              <w:rPr>
                                <w:rFonts w:hint="eastAsia" w:ascii="Times New Roman" w:hAnsi="Times New Roman" w:eastAsia="黑体" w:cs="Times New Roman"/>
                                <w:color w:val="231F20"/>
                                <w:kern w:val="0"/>
                                <w:sz w:val="24"/>
                                <w:lang w:val="en-US" w:eastAsia="zh-CN" w:bidi="ar"/>
                              </w:rPr>
                              <w: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16.95pt;margin-top:-0.1pt;height:61.4pt;width:115pt;z-index:251660288;mso-width-relative:page;mso-height-relative:page;" fillcolor="#FFFFFF [3201]" filled="t" stroked="f" coordsize="21600,21600" o:gfxdata="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">
                <v:fill on="t" focussize="0,0"/>
                <v:stroke on="f" weight="0.5pt"/>
                <v:imagedata o:title=""/>
                <o:lock v:ext="edit" aspectratio="f"/>
                <v:textbox>
                  <w:txbxContent>
                    <w:p w14:paraId="72C33DD6">
                      <w:pPr>
                        <w:jc w:val="center"/>
                        <w:rPr>
                          <w:rFonts w:ascii="Times New Roman" w:hAnsi="Times New Roman" w:eastAsia="黑体" w:cs="Times New Roman"/>
                          <w:color w:val="231F20"/>
                          <w:kern w:val="0"/>
                          <w:sz w:val="24"/>
                          <w:lang w:bidi="ar"/>
                        </w:rPr>
                      </w:pPr>
                      <w:r>
                        <w:rPr>
                          <w:rFonts w:ascii="Times New Roman" w:hAnsi="Times New Roman" w:eastAsia="黑体" w:cs="Times New Roman"/>
                          <w:color w:val="231F20"/>
                          <w:kern w:val="0"/>
                          <w:sz w:val="24"/>
                          <w:lang w:bidi="ar"/>
                        </w:rPr>
                        <w:t>指导性文件</w:t>
                      </w:r>
                    </w:p>
                    <w:p w14:paraId="244C46F0">
                      <w:pPr>
                        <w:ind w:left="19" w:hanging="19" w:hangingChars="8"/>
                        <w:jc w:val="center"/>
                        <w:rPr>
                          <w:rFonts w:hint="default" w:ascii="Times New Roman" w:hAnsi="Times New Roman" w:eastAsia="黑体" w:cs="Times New Roman"/>
                          <w:color w:val="231F20"/>
                          <w:kern w:val="0"/>
                          <w:sz w:val="24"/>
                          <w:lang w:val="en-US" w:eastAsia="zh-CN" w:bidi="ar"/>
                        </w:rPr>
                      </w:pPr>
                      <w:r>
                        <w:rPr>
                          <w:rFonts w:ascii="Times New Roman" w:hAnsi="Times New Roman" w:eastAsia="黑体" w:cs="Times New Roman"/>
                          <w:color w:val="231F20"/>
                          <w:kern w:val="0"/>
                          <w:sz w:val="24"/>
                          <w:lang w:bidi="ar"/>
                        </w:rPr>
                        <w:t>GD</w:t>
                      </w:r>
                      <w:r>
                        <w:rPr>
                          <w:rFonts w:hint="eastAsia" w:ascii="Times New Roman" w:hAnsi="Times New Roman" w:eastAsia="黑体" w:cs="Times New Roman"/>
                          <w:color w:val="231F20"/>
                          <w:kern w:val="0"/>
                          <w:sz w:val="24"/>
                          <w:lang w:val="en-US" w:eastAsia="zh-CN" w:bidi="ar"/>
                        </w:rPr>
                        <w:t>***</w:t>
                      </w:r>
                      <w:r>
                        <w:rPr>
                          <w:rFonts w:ascii="Times New Roman" w:hAnsi="Times New Roman" w:eastAsia="黑体" w:cs="Times New Roman"/>
                          <w:color w:val="231F20"/>
                          <w:kern w:val="0"/>
                          <w:sz w:val="24"/>
                          <w:lang w:bidi="ar"/>
                        </w:rPr>
                        <w:t>-</w:t>
                      </w:r>
                      <w:r>
                        <w:rPr>
                          <w:rFonts w:hint="eastAsia" w:ascii="Times New Roman" w:hAnsi="Times New Roman" w:eastAsia="黑体" w:cs="Times New Roman"/>
                          <w:color w:val="231F20"/>
                          <w:kern w:val="0"/>
                          <w:sz w:val="24"/>
                          <w:lang w:val="en-US" w:eastAsia="zh-CN" w:bidi="ar"/>
                        </w:rPr>
                        <w:t>****</w:t>
                      </w:r>
                    </w:p>
                  </w:txbxContent>
                </v:textbox>
              </v:shape>
            </w:pict>
          </mc:Fallback>
        </mc:AlternateContent>
      </w:r>
    </w:p>
    <w:p w14:paraId="7DF6A946">
      <w:pPr>
        <w:keepNext w:val="0"/>
        <w:keepLines w:val="0"/>
        <w:pageBreakBefore w:val="0"/>
        <w:widowControl/>
        <w:tabs>
          <w:tab w:val="center" w:pos="4154"/>
        </w:tabs>
        <w:kinsoku/>
        <w:wordWrap/>
        <w:overflowPunct/>
        <w:topLinePunct w:val="0"/>
        <w:autoSpaceDE/>
        <w:autoSpaceDN/>
        <w:bidi w:val="0"/>
        <w:adjustRightInd/>
        <w:snapToGrid/>
        <w:spacing w:line="240" w:lineRule="auto"/>
        <w:jc w:val="center"/>
        <w:textAlignment w:val="auto"/>
        <w:outlineLvl w:val="0"/>
        <w:rPr>
          <w:rFonts w:ascii="Times New Roman" w:hAnsi="Times New Roman" w:cs="Times New Roman"/>
          <w:color w:val="FFFFFF" w:themeColor="background1"/>
          <w:szCs w:val="21"/>
          <w14:textFill>
            <w14:solidFill>
              <w14:schemeClr w14:val="bg1"/>
            </w14:solidFill>
          </w14:textFill>
        </w:rPr>
      </w:pPr>
    </w:p>
    <w:p w14:paraId="300293EA">
      <w:pPr>
        <w:bidi w:val="0"/>
        <w:jc w:val="center"/>
      </w:pPr>
      <w:bookmarkStart w:id="0" w:name="_Toc3516"/>
      <w:r>
        <w:drawing>
          <wp:inline distT="0" distB="0" distL="114300" distR="114300">
            <wp:extent cx="1109345" cy="1501140"/>
            <wp:effectExtent l="0" t="0" r="14605" b="3810"/>
            <wp:docPr id="39" name="图片 39" descr="龙标镂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龙标镂空"/>
                    <pic:cNvPicPr>
                      <a:picLocks noChangeAspect="1"/>
                    </pic:cNvPicPr>
                  </pic:nvPicPr>
                  <pic:blipFill>
                    <a:blip r:embed="rId8"/>
                    <a:stretch>
                      <a:fillRect/>
                    </a:stretch>
                  </pic:blipFill>
                  <pic:spPr>
                    <a:xfrm>
                      <a:off x="0" y="0"/>
                      <a:ext cx="1109345" cy="1501140"/>
                    </a:xfrm>
                    <a:prstGeom prst="rect">
                      <a:avLst/>
                    </a:prstGeom>
                  </pic:spPr>
                </pic:pic>
              </a:graphicData>
            </a:graphic>
          </wp:inline>
        </w:drawing>
      </w:r>
      <w:bookmarkEnd w:id="0"/>
    </w:p>
    <w:p w14:paraId="629CB277">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3D973D1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黑体" w:hAnsi="黑体" w:eastAsia="黑体" w:cs="黑体"/>
          <w:color w:val="231F20"/>
          <w:kern w:val="0"/>
          <w:sz w:val="32"/>
          <w:szCs w:val="32"/>
          <w:lang w:bidi="ar"/>
        </w:rPr>
      </w:pPr>
      <w:r>
        <w:rPr>
          <w:rFonts w:hint="eastAsia" w:ascii="黑体" w:hAnsi="黑体" w:eastAsia="黑体" w:cs="黑体"/>
          <w:color w:val="231F20"/>
          <w:kern w:val="0"/>
          <w:sz w:val="32"/>
          <w:szCs w:val="32"/>
          <w:lang w:bidi="ar"/>
        </w:rPr>
        <w:t>中  国  船  级  社</w:t>
      </w:r>
    </w:p>
    <w:p w14:paraId="23A8A1CC">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50BE6FE5">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050F7EC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黑体" w:hAnsi="黑体" w:eastAsia="黑体" w:cs="黑体"/>
          <w:sz w:val="72"/>
          <w:szCs w:val="72"/>
        </w:rPr>
      </w:pPr>
      <w:r>
        <w:rPr>
          <w:rFonts w:hint="eastAsia" w:ascii="黑体" w:hAnsi="黑体" w:eastAsia="黑体" w:cs="黑体"/>
          <w:color w:val="231F20"/>
          <w:kern w:val="0"/>
          <w:sz w:val="72"/>
          <w:szCs w:val="72"/>
          <w:lang w:bidi="ar"/>
        </w:rPr>
        <w:t>船舶救生艇抛投试验数字化评估指南</w:t>
      </w:r>
    </w:p>
    <w:p w14:paraId="7FE80083">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6FF37836">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0B9E8C83">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eastAsiaTheme="minorEastAsia"/>
          <w:szCs w:val="21"/>
          <w:lang w:eastAsia="zh-CN"/>
        </w:rPr>
      </w:pPr>
      <w:r>
        <w:rPr>
          <w:rFonts w:hint="eastAsia" w:ascii="Times New Roman" w:hAnsi="Times New Roman" w:cs="Times New Roman"/>
          <w:b/>
          <w:bCs/>
          <w:color w:val="231F20"/>
          <w:kern w:val="0"/>
          <w:sz w:val="48"/>
          <w:szCs w:val="48"/>
          <w:lang w:eastAsia="zh-CN" w:bidi="ar"/>
        </w:rPr>
        <w:t>（</w:t>
      </w:r>
      <w:r>
        <w:rPr>
          <w:rFonts w:hint="eastAsia" w:ascii="Times New Roman" w:hAnsi="Times New Roman" w:cs="Times New Roman"/>
          <w:b/>
          <w:bCs/>
          <w:color w:val="231F20"/>
          <w:kern w:val="0"/>
          <w:sz w:val="48"/>
          <w:szCs w:val="48"/>
          <w:lang w:val="en-US" w:eastAsia="zh-CN" w:bidi="ar"/>
        </w:rPr>
        <w:t>初稿</w:t>
      </w:r>
      <w:r>
        <w:rPr>
          <w:rFonts w:hint="eastAsia" w:ascii="Times New Roman" w:hAnsi="Times New Roman" w:cs="Times New Roman"/>
          <w:b/>
          <w:bCs/>
          <w:color w:val="231F20"/>
          <w:kern w:val="0"/>
          <w:sz w:val="48"/>
          <w:szCs w:val="48"/>
          <w:lang w:eastAsia="zh-CN" w:bidi="ar"/>
        </w:rPr>
        <w:t>）</w:t>
      </w:r>
    </w:p>
    <w:p w14:paraId="2FF8B9BB">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5AC8C698">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Times New Roman" w:hAnsi="Times New Roman" w:eastAsia="黑体" w:cs="Times New Roman"/>
        </w:rPr>
      </w:pPr>
      <w:r>
        <w:rPr>
          <w:rFonts w:hint="eastAsia" w:ascii="Times New Roman" w:hAnsi="Times New Roman" w:eastAsia="黑体" w:cs="Times New Roman"/>
          <w:color w:val="231F20"/>
          <w:kern w:val="0"/>
          <w:sz w:val="24"/>
          <w:lang w:val="en-US" w:eastAsia="zh-CN" w:bidi="ar"/>
        </w:rPr>
        <w:t>×</w:t>
      </w:r>
      <w:r>
        <w:rPr>
          <w:rFonts w:ascii="Times New Roman" w:hAnsi="Times New Roman" w:eastAsia="黑体" w:cs="Times New Roman"/>
          <w:color w:val="231F20"/>
          <w:kern w:val="0"/>
          <w:sz w:val="24"/>
          <w:lang w:bidi="ar"/>
        </w:rPr>
        <w:t>年</w:t>
      </w:r>
      <w:r>
        <w:rPr>
          <w:rFonts w:hint="eastAsia" w:ascii="Times New Roman" w:hAnsi="Times New Roman" w:eastAsia="黑体" w:cs="Times New Roman"/>
          <w:color w:val="231F20"/>
          <w:kern w:val="0"/>
          <w:sz w:val="24"/>
          <w:lang w:val="en-US" w:eastAsia="zh-CN" w:bidi="ar"/>
        </w:rPr>
        <w:t>×</w:t>
      </w:r>
      <w:r>
        <w:rPr>
          <w:rFonts w:ascii="Times New Roman" w:hAnsi="Times New Roman" w:eastAsia="黑体" w:cs="Times New Roman"/>
          <w:color w:val="231F20"/>
          <w:kern w:val="0"/>
          <w:sz w:val="24"/>
          <w:lang w:bidi="ar"/>
        </w:rPr>
        <w:t>月</w:t>
      </w:r>
      <w:r>
        <w:rPr>
          <w:rFonts w:hint="eastAsia" w:ascii="Times New Roman" w:hAnsi="Times New Roman" w:eastAsia="黑体" w:cs="Times New Roman"/>
          <w:color w:val="231F20"/>
          <w:kern w:val="0"/>
          <w:sz w:val="24"/>
          <w:lang w:val="en-US" w:eastAsia="zh-CN" w:bidi="ar"/>
        </w:rPr>
        <w:t>×</w:t>
      </w:r>
      <w:r>
        <w:rPr>
          <w:rFonts w:ascii="Times New Roman" w:hAnsi="Times New Roman" w:eastAsia="黑体" w:cs="Times New Roman"/>
          <w:color w:val="231F20"/>
          <w:kern w:val="0"/>
          <w:sz w:val="24"/>
          <w:lang w:bidi="ar"/>
        </w:rPr>
        <w:t>日生效</w:t>
      </w:r>
    </w:p>
    <w:p w14:paraId="39BC98BC">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7A28A028">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4A03DCC5">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0C65D5AE">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4DEF95C3">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0CD0CE8E">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3FB09185">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5A89385F">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23A3EEB6">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3EDBB05F">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04A7224A">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27F06DA9">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7E97F3BB">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5655C681">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40D9B639">
      <w:pPr>
        <w:keepNext w:val="0"/>
        <w:keepLines w:val="0"/>
        <w:pageBreakBefore w:val="0"/>
        <w:widowControl/>
        <w:kinsoku/>
        <w:wordWrap/>
        <w:overflowPunct/>
        <w:topLinePunct w:val="0"/>
        <w:autoSpaceDE/>
        <w:autoSpaceDN/>
        <w:bidi w:val="0"/>
        <w:adjustRightInd/>
        <w:snapToGrid/>
        <w:spacing w:line="240" w:lineRule="auto"/>
        <w:jc w:val="center"/>
        <w:textAlignment w:val="auto"/>
        <w:rPr>
          <w:szCs w:val="21"/>
        </w:rPr>
      </w:pPr>
    </w:p>
    <w:p w14:paraId="0AEC8DAB">
      <w:pPr>
        <w:keepNext w:val="0"/>
        <w:keepLines w:val="0"/>
        <w:pageBreakBefore w:val="0"/>
        <w:widowControl/>
        <w:kinsoku/>
        <w:wordWrap/>
        <w:overflowPunct/>
        <w:topLinePunct w:val="0"/>
        <w:autoSpaceDE/>
        <w:autoSpaceDN/>
        <w:bidi w:val="0"/>
        <w:adjustRightInd/>
        <w:snapToGrid/>
        <w:spacing w:line="240" w:lineRule="auto"/>
        <w:jc w:val="center"/>
        <w:textAlignment w:val="auto"/>
      </w:pPr>
      <w:r>
        <w:rPr>
          <w:rFonts w:ascii="黑体" w:hAnsi="宋体" w:eastAsia="黑体" w:cs="黑体"/>
          <w:color w:val="231F20"/>
          <w:kern w:val="0"/>
          <w:sz w:val="28"/>
          <w:szCs w:val="28"/>
          <w:lang w:bidi="ar"/>
        </w:rPr>
        <w:t xml:space="preserve">北 </w:t>
      </w:r>
      <w:r>
        <w:rPr>
          <w:rFonts w:hint="eastAsia" w:ascii="黑体" w:hAnsi="宋体" w:eastAsia="黑体" w:cs="黑体"/>
          <w:color w:val="231F20"/>
          <w:kern w:val="0"/>
          <w:sz w:val="28"/>
          <w:szCs w:val="28"/>
          <w:lang w:bidi="ar"/>
        </w:rPr>
        <w:t xml:space="preserve"> </w:t>
      </w:r>
      <w:r>
        <w:rPr>
          <w:rFonts w:ascii="黑体" w:hAnsi="宋体" w:eastAsia="黑体" w:cs="黑体"/>
          <w:color w:val="231F20"/>
          <w:kern w:val="0"/>
          <w:sz w:val="28"/>
          <w:szCs w:val="28"/>
          <w:lang w:bidi="ar"/>
        </w:rPr>
        <w:t>京</w:t>
      </w:r>
    </w:p>
    <w:p w14:paraId="121B0980">
      <w:pPr>
        <w:rPr>
          <w:rFonts w:hint="eastAsia" w:ascii="黑体" w:hAnsi="黑体" w:eastAsia="黑体" w:cs="黑体"/>
          <w:b/>
          <w:bCs/>
          <w:sz w:val="36"/>
          <w:szCs w:val="44"/>
        </w:rPr>
      </w:pPr>
      <w:r>
        <w:rPr>
          <w:rFonts w:hint="eastAsia" w:ascii="黑体" w:hAnsi="黑体" w:eastAsia="黑体" w:cs="黑体"/>
          <w:b/>
          <w:bCs/>
          <w:sz w:val="36"/>
          <w:szCs w:val="44"/>
        </w:rPr>
        <w:br w:type="page"/>
      </w:r>
    </w:p>
    <w:sdt>
      <w:sdtPr>
        <w:rPr>
          <w:rFonts w:ascii="宋体" w:hAnsi="宋体" w:eastAsia="宋体" w:cstheme="minorBidi"/>
          <w:kern w:val="2"/>
          <w:sz w:val="21"/>
          <w:szCs w:val="24"/>
          <w:lang w:val="en-US" w:eastAsia="zh-CN" w:bidi="ar-SA"/>
        </w:rPr>
        <w:id w:val="147475072"/>
        <w15:color w:val="DBDBDB"/>
        <w:docPartObj>
          <w:docPartGallery w:val="Table of Contents"/>
          <w:docPartUnique/>
        </w:docPartObj>
      </w:sdtPr>
      <w:sdtEndPr>
        <w:rPr>
          <w:rFonts w:hint="eastAsia" w:ascii="黑体" w:hAnsi="黑体" w:eastAsia="黑体" w:cs="黑体"/>
          <w:bCs/>
          <w:kern w:val="2"/>
          <w:sz w:val="21"/>
          <w:szCs w:val="44"/>
          <w:lang w:val="en-US" w:eastAsia="zh-CN" w:bidi="ar-SA"/>
        </w:rPr>
      </w:sdtEndPr>
      <w:sdtContent>
        <w:p w14:paraId="20E239C7">
          <w:pPr>
            <w:spacing w:before="0" w:beforeLines="0" w:after="0" w:afterLines="0" w:line="240" w:lineRule="auto"/>
            <w:ind w:left="0" w:leftChars="0" w:right="0" w:rightChars="0" w:firstLine="0" w:firstLineChars="0"/>
            <w:jc w:val="center"/>
          </w:pPr>
          <w:r>
            <w:rPr>
              <w:rFonts w:ascii="宋体" w:hAnsi="宋体" w:eastAsia="宋体"/>
              <w:sz w:val="44"/>
              <w:szCs w:val="52"/>
            </w:rPr>
            <w:t>目</w:t>
          </w:r>
          <w:r>
            <w:rPr>
              <w:rFonts w:hint="eastAsia" w:ascii="宋体" w:hAnsi="宋体" w:eastAsia="宋体"/>
              <w:sz w:val="44"/>
              <w:szCs w:val="52"/>
              <w:lang w:val="en-US" w:eastAsia="zh-CN"/>
            </w:rPr>
            <w:t xml:space="preserve">  </w:t>
          </w:r>
          <w:r>
            <w:rPr>
              <w:rFonts w:ascii="宋体" w:hAnsi="宋体" w:eastAsia="宋体"/>
              <w:sz w:val="44"/>
              <w:szCs w:val="52"/>
            </w:rPr>
            <w:t>录</w:t>
          </w:r>
        </w:p>
        <w:p w14:paraId="3FA713F2">
          <w:pPr>
            <w:pStyle w:val="7"/>
            <w:tabs>
              <w:tab w:val="right" w:leader="dot" w:pos="8306"/>
            </w:tabs>
          </w:pPr>
          <w:r>
            <w:rPr>
              <w:rFonts w:hint="eastAsia" w:ascii="黑体" w:hAnsi="黑体" w:eastAsia="黑体" w:cs="黑体"/>
              <w:b/>
              <w:bCs/>
              <w:sz w:val="36"/>
              <w:szCs w:val="44"/>
              <w:lang w:val="en-US" w:eastAsia="zh-CN"/>
            </w:rPr>
            <w:fldChar w:fldCharType="begin"/>
          </w:r>
          <w:r>
            <w:rPr>
              <w:rFonts w:hint="eastAsia" w:ascii="黑体" w:hAnsi="黑体" w:eastAsia="黑体" w:cs="黑体"/>
              <w:b/>
              <w:bCs/>
              <w:sz w:val="36"/>
              <w:szCs w:val="44"/>
              <w:lang w:val="en-US" w:eastAsia="zh-CN"/>
            </w:rPr>
            <w:instrText xml:space="preserve">TOC \o "1-2" \h \u </w:instrText>
          </w:r>
          <w:r>
            <w:rPr>
              <w:rFonts w:hint="eastAsia" w:ascii="黑体" w:hAnsi="黑体" w:eastAsia="黑体" w:cs="黑体"/>
              <w:b/>
              <w:bCs/>
              <w:sz w:val="36"/>
              <w:szCs w:val="44"/>
              <w:lang w:val="en-US" w:eastAsia="zh-CN"/>
            </w:rPr>
            <w:fldChar w:fldCharType="separate"/>
          </w: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_Toc5091 </w:instrText>
          </w:r>
          <w:r>
            <w:rPr>
              <w:rFonts w:hint="eastAsia" w:ascii="黑体" w:hAnsi="黑体" w:eastAsia="黑体" w:cs="黑体"/>
              <w:bCs/>
              <w:szCs w:val="44"/>
              <w:lang w:val="en-US" w:eastAsia="zh-CN"/>
            </w:rPr>
            <w:fldChar w:fldCharType="separate"/>
          </w:r>
          <w:r>
            <w:rPr>
              <w:rFonts w:hint="eastAsia"/>
            </w:rPr>
            <w:t>第1章 一般要求</w:t>
          </w:r>
          <w:r>
            <w:tab/>
          </w:r>
          <w:r>
            <w:fldChar w:fldCharType="begin"/>
          </w:r>
          <w:r>
            <w:instrText xml:space="preserve"> PAGEREF _Toc5091 \h </w:instrText>
          </w:r>
          <w:r>
            <w:fldChar w:fldCharType="separate"/>
          </w:r>
          <w:r>
            <w:t>4</w:t>
          </w:r>
          <w:r>
            <w:fldChar w:fldCharType="end"/>
          </w:r>
          <w:r>
            <w:rPr>
              <w:rFonts w:hint="eastAsia" w:ascii="黑体" w:hAnsi="黑体" w:eastAsia="黑体" w:cs="黑体"/>
              <w:bCs/>
              <w:szCs w:val="44"/>
              <w:lang w:val="en-US" w:eastAsia="zh-CN"/>
            </w:rPr>
            <w:fldChar w:fldCharType="end"/>
          </w:r>
        </w:p>
        <w:p w14:paraId="47C2D896">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_Toc2986 </w:instrText>
          </w:r>
          <w:r>
            <w:rPr>
              <w:rFonts w:hint="eastAsia" w:ascii="黑体" w:hAnsi="黑体" w:eastAsia="黑体" w:cs="黑体"/>
              <w:bCs/>
              <w:szCs w:val="44"/>
              <w:lang w:val="en-US" w:eastAsia="zh-CN"/>
            </w:rPr>
            <w:fldChar w:fldCharType="separate"/>
          </w:r>
          <w:r>
            <w:rPr>
              <w:rFonts w:hint="eastAsia"/>
              <w:lang w:val="en-US" w:eastAsia="zh-CN"/>
            </w:rPr>
            <w:t>第1节</w:t>
          </w:r>
          <w:r>
            <w:rPr>
              <w:rFonts w:hint="eastAsia"/>
            </w:rPr>
            <w:t xml:space="preserve"> 一般规定</w:t>
          </w:r>
          <w:r>
            <w:tab/>
          </w:r>
          <w:r>
            <w:fldChar w:fldCharType="begin"/>
          </w:r>
          <w:r>
            <w:instrText xml:space="preserve"> PAGEREF _Toc2986 \h </w:instrText>
          </w:r>
          <w:r>
            <w:fldChar w:fldCharType="separate"/>
          </w:r>
          <w:r>
            <w:t>4</w:t>
          </w:r>
          <w:r>
            <w:fldChar w:fldCharType="end"/>
          </w:r>
          <w:r>
            <w:rPr>
              <w:rFonts w:hint="eastAsia" w:ascii="黑体" w:hAnsi="黑体" w:eastAsia="黑体" w:cs="黑体"/>
              <w:bCs/>
              <w:szCs w:val="44"/>
              <w:lang w:val="en-US" w:eastAsia="zh-CN"/>
            </w:rPr>
            <w:fldChar w:fldCharType="end"/>
          </w:r>
        </w:p>
        <w:p w14:paraId="57FF94E8">
          <w:pPr>
            <w:pStyle w:val="7"/>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_Toc12694 </w:instrText>
          </w:r>
          <w:r>
            <w:rPr>
              <w:rFonts w:hint="eastAsia" w:ascii="黑体" w:hAnsi="黑体" w:eastAsia="黑体" w:cs="黑体"/>
              <w:bCs/>
              <w:szCs w:val="44"/>
              <w:lang w:val="en-US" w:eastAsia="zh-CN"/>
            </w:rPr>
            <w:fldChar w:fldCharType="separate"/>
          </w:r>
          <w:r>
            <w:rPr>
              <w:rFonts w:hint="eastAsia"/>
            </w:rPr>
            <w:t>第2章 数值模型</w:t>
          </w:r>
          <w:r>
            <w:tab/>
          </w:r>
          <w:r>
            <w:fldChar w:fldCharType="begin"/>
          </w:r>
          <w:r>
            <w:instrText xml:space="preserve"> PAGEREF _Toc12694 \h </w:instrText>
          </w:r>
          <w:r>
            <w:fldChar w:fldCharType="separate"/>
          </w:r>
          <w:r>
            <w:t>6</w:t>
          </w:r>
          <w:r>
            <w:fldChar w:fldCharType="end"/>
          </w:r>
          <w:r>
            <w:rPr>
              <w:rFonts w:hint="eastAsia" w:ascii="黑体" w:hAnsi="黑体" w:eastAsia="黑体" w:cs="黑体"/>
              <w:bCs/>
              <w:szCs w:val="44"/>
              <w:lang w:val="en-US" w:eastAsia="zh-CN"/>
            </w:rPr>
            <w:fldChar w:fldCharType="end"/>
          </w:r>
        </w:p>
        <w:p w14:paraId="5216B42F">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_Toc21565 </w:instrText>
          </w:r>
          <w:r>
            <w:rPr>
              <w:rFonts w:hint="eastAsia" w:ascii="黑体" w:hAnsi="黑体" w:eastAsia="黑体" w:cs="黑体"/>
              <w:bCs/>
              <w:szCs w:val="44"/>
              <w:lang w:val="en-US" w:eastAsia="zh-CN"/>
            </w:rPr>
            <w:fldChar w:fldCharType="separate"/>
          </w:r>
          <w:r>
            <w:rPr>
              <w:rFonts w:hint="eastAsia"/>
            </w:rPr>
            <w:t>第1节 一般规定</w:t>
          </w:r>
          <w:r>
            <w:tab/>
          </w:r>
          <w:r>
            <w:fldChar w:fldCharType="begin"/>
          </w:r>
          <w:r>
            <w:instrText xml:space="preserve"> PAGEREF _Toc21565 \h </w:instrText>
          </w:r>
          <w:r>
            <w:fldChar w:fldCharType="separate"/>
          </w:r>
          <w:r>
            <w:t>6</w:t>
          </w:r>
          <w:r>
            <w:fldChar w:fldCharType="end"/>
          </w:r>
          <w:r>
            <w:rPr>
              <w:rFonts w:hint="eastAsia" w:ascii="黑体" w:hAnsi="黑体" w:eastAsia="黑体" w:cs="黑体"/>
              <w:bCs/>
              <w:szCs w:val="44"/>
              <w:lang w:val="en-US" w:eastAsia="zh-CN"/>
            </w:rPr>
            <w:fldChar w:fldCharType="end"/>
          </w:r>
        </w:p>
        <w:p w14:paraId="0819A39F">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_Toc14965 </w:instrText>
          </w:r>
          <w:r>
            <w:rPr>
              <w:rFonts w:hint="eastAsia" w:ascii="黑体" w:hAnsi="黑体" w:eastAsia="黑体" w:cs="黑体"/>
              <w:bCs/>
              <w:szCs w:val="44"/>
              <w:lang w:val="en-US" w:eastAsia="zh-CN"/>
            </w:rPr>
            <w:fldChar w:fldCharType="separate"/>
          </w:r>
          <w:r>
            <w:rPr>
              <w:rFonts w:hint="eastAsia"/>
            </w:rPr>
            <w:t>第2节 几何模型</w:t>
          </w:r>
          <w:r>
            <w:tab/>
          </w:r>
          <w:r>
            <w:fldChar w:fldCharType="begin"/>
          </w:r>
          <w:r>
            <w:instrText xml:space="preserve"> PAGEREF _Toc14965 \h </w:instrText>
          </w:r>
          <w:r>
            <w:fldChar w:fldCharType="separate"/>
          </w:r>
          <w:r>
            <w:t>6</w:t>
          </w:r>
          <w:r>
            <w:fldChar w:fldCharType="end"/>
          </w:r>
          <w:r>
            <w:rPr>
              <w:rFonts w:hint="eastAsia" w:ascii="黑体" w:hAnsi="黑体" w:eastAsia="黑体" w:cs="黑体"/>
              <w:bCs/>
              <w:szCs w:val="44"/>
              <w:lang w:val="en-US" w:eastAsia="zh-CN"/>
            </w:rPr>
            <w:fldChar w:fldCharType="end"/>
          </w:r>
        </w:p>
        <w:p w14:paraId="0745952E">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_Toc15096 </w:instrText>
          </w:r>
          <w:r>
            <w:rPr>
              <w:rFonts w:hint="eastAsia" w:ascii="黑体" w:hAnsi="黑体" w:eastAsia="黑体" w:cs="黑体"/>
              <w:bCs/>
              <w:szCs w:val="44"/>
              <w:lang w:val="en-US" w:eastAsia="zh-CN"/>
            </w:rPr>
            <w:fldChar w:fldCharType="separate"/>
          </w:r>
          <w:r>
            <w:rPr>
              <w:rFonts w:hint="eastAsia"/>
            </w:rPr>
            <w:t>第3节 计算域与边界条件</w:t>
          </w:r>
          <w:r>
            <w:tab/>
          </w:r>
          <w:r>
            <w:fldChar w:fldCharType="begin"/>
          </w:r>
          <w:r>
            <w:instrText xml:space="preserve"> PAGEREF _Toc15096 \h </w:instrText>
          </w:r>
          <w:r>
            <w:fldChar w:fldCharType="separate"/>
          </w:r>
          <w:r>
            <w:t>6</w:t>
          </w:r>
          <w:r>
            <w:fldChar w:fldCharType="end"/>
          </w:r>
          <w:r>
            <w:rPr>
              <w:rFonts w:hint="eastAsia" w:ascii="黑体" w:hAnsi="黑体" w:eastAsia="黑体" w:cs="黑体"/>
              <w:bCs/>
              <w:szCs w:val="44"/>
              <w:lang w:val="en-US" w:eastAsia="zh-CN"/>
            </w:rPr>
            <w:fldChar w:fldCharType="end"/>
          </w:r>
        </w:p>
        <w:p w14:paraId="505AA01E">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_Toc1751 </w:instrText>
          </w:r>
          <w:r>
            <w:rPr>
              <w:rFonts w:hint="eastAsia" w:ascii="黑体" w:hAnsi="黑体" w:eastAsia="黑体" w:cs="黑体"/>
              <w:bCs/>
              <w:szCs w:val="44"/>
              <w:lang w:val="en-US" w:eastAsia="zh-CN"/>
            </w:rPr>
            <w:fldChar w:fldCharType="separate"/>
          </w:r>
          <w:r>
            <w:rPr>
              <w:rFonts w:hint="eastAsia"/>
            </w:rPr>
            <w:t>第4节 网格划分</w:t>
          </w:r>
          <w:r>
            <w:tab/>
          </w:r>
          <w:r>
            <w:fldChar w:fldCharType="begin"/>
          </w:r>
          <w:r>
            <w:instrText xml:space="preserve"> PAGEREF _Toc1751 \h </w:instrText>
          </w:r>
          <w:r>
            <w:fldChar w:fldCharType="separate"/>
          </w:r>
          <w:r>
            <w:t>7</w:t>
          </w:r>
          <w:r>
            <w:fldChar w:fldCharType="end"/>
          </w:r>
          <w:r>
            <w:rPr>
              <w:rFonts w:hint="eastAsia" w:ascii="黑体" w:hAnsi="黑体" w:eastAsia="黑体" w:cs="黑体"/>
              <w:bCs/>
              <w:szCs w:val="44"/>
              <w:lang w:val="en-US" w:eastAsia="zh-CN"/>
            </w:rPr>
            <w:fldChar w:fldCharType="end"/>
          </w:r>
        </w:p>
        <w:p w14:paraId="79693459">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_Toc17967 </w:instrText>
          </w:r>
          <w:r>
            <w:rPr>
              <w:rFonts w:hint="eastAsia" w:ascii="黑体" w:hAnsi="黑体" w:eastAsia="黑体" w:cs="黑体"/>
              <w:bCs/>
              <w:szCs w:val="44"/>
              <w:lang w:val="en-US" w:eastAsia="zh-CN"/>
            </w:rPr>
            <w:fldChar w:fldCharType="separate"/>
          </w:r>
          <w:r>
            <w:rPr>
              <w:rFonts w:hint="eastAsia"/>
            </w:rPr>
            <w:t>第5节 多相流与自由面捕捉</w:t>
          </w:r>
          <w:r>
            <w:tab/>
          </w:r>
          <w:r>
            <w:fldChar w:fldCharType="begin"/>
          </w:r>
          <w:r>
            <w:instrText xml:space="preserve"> PAGEREF _Toc17967 \h </w:instrText>
          </w:r>
          <w:r>
            <w:fldChar w:fldCharType="separate"/>
          </w:r>
          <w:r>
            <w:t>9</w:t>
          </w:r>
          <w:r>
            <w:fldChar w:fldCharType="end"/>
          </w:r>
          <w:r>
            <w:rPr>
              <w:rFonts w:hint="eastAsia" w:ascii="黑体" w:hAnsi="黑体" w:eastAsia="黑体" w:cs="黑体"/>
              <w:bCs/>
              <w:szCs w:val="44"/>
              <w:lang w:val="en-US" w:eastAsia="zh-CN"/>
            </w:rPr>
            <w:fldChar w:fldCharType="end"/>
          </w:r>
        </w:p>
        <w:p w14:paraId="723EE9EF">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_Toc15802 </w:instrText>
          </w:r>
          <w:r>
            <w:rPr>
              <w:rFonts w:hint="eastAsia" w:ascii="黑体" w:hAnsi="黑体" w:eastAsia="黑体" w:cs="黑体"/>
              <w:bCs/>
              <w:szCs w:val="44"/>
              <w:lang w:val="en-US" w:eastAsia="zh-CN"/>
            </w:rPr>
            <w:fldChar w:fldCharType="separate"/>
          </w:r>
          <w:r>
            <w:rPr>
              <w:rFonts w:hint="eastAsia"/>
            </w:rPr>
            <w:t>第6节 湍流模型</w:t>
          </w:r>
          <w:r>
            <w:tab/>
          </w:r>
          <w:r>
            <w:fldChar w:fldCharType="begin"/>
          </w:r>
          <w:r>
            <w:instrText xml:space="preserve"> PAGEREF _Toc15802 \h </w:instrText>
          </w:r>
          <w:r>
            <w:fldChar w:fldCharType="separate"/>
          </w:r>
          <w:r>
            <w:t>9</w:t>
          </w:r>
          <w:r>
            <w:fldChar w:fldCharType="end"/>
          </w:r>
          <w:r>
            <w:rPr>
              <w:rFonts w:hint="eastAsia" w:ascii="黑体" w:hAnsi="黑体" w:eastAsia="黑体" w:cs="黑体"/>
              <w:bCs/>
              <w:szCs w:val="44"/>
              <w:lang w:val="en-US" w:eastAsia="zh-CN"/>
            </w:rPr>
            <w:fldChar w:fldCharType="end"/>
          </w:r>
        </w:p>
        <w:p w14:paraId="2A3CEEA4">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_Toc6933 </w:instrText>
          </w:r>
          <w:r>
            <w:rPr>
              <w:rFonts w:hint="eastAsia" w:ascii="黑体" w:hAnsi="黑体" w:eastAsia="黑体" w:cs="黑体"/>
              <w:bCs/>
              <w:szCs w:val="44"/>
              <w:lang w:val="en-US" w:eastAsia="zh-CN"/>
            </w:rPr>
            <w:fldChar w:fldCharType="separate"/>
          </w:r>
          <w:r>
            <w:rPr>
              <w:rFonts w:hint="eastAsia"/>
            </w:rPr>
            <w:t>第7节 六自由度运动方程</w:t>
          </w:r>
          <w:r>
            <w:tab/>
          </w:r>
          <w:r>
            <w:fldChar w:fldCharType="begin"/>
          </w:r>
          <w:r>
            <w:instrText xml:space="preserve"> PAGEREF _Toc6933 \h </w:instrText>
          </w:r>
          <w:r>
            <w:fldChar w:fldCharType="separate"/>
          </w:r>
          <w:r>
            <w:t>9</w:t>
          </w:r>
          <w:r>
            <w:fldChar w:fldCharType="end"/>
          </w:r>
          <w:r>
            <w:rPr>
              <w:rFonts w:hint="eastAsia" w:ascii="黑体" w:hAnsi="黑体" w:eastAsia="黑体" w:cs="黑体"/>
              <w:bCs/>
              <w:szCs w:val="44"/>
              <w:lang w:val="en-US" w:eastAsia="zh-CN"/>
            </w:rPr>
            <w:fldChar w:fldCharType="end"/>
          </w:r>
        </w:p>
        <w:p w14:paraId="4780601E">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_Toc18689 </w:instrText>
          </w:r>
          <w:r>
            <w:rPr>
              <w:rFonts w:hint="eastAsia" w:ascii="黑体" w:hAnsi="黑体" w:eastAsia="黑体" w:cs="黑体"/>
              <w:bCs/>
              <w:szCs w:val="44"/>
              <w:lang w:val="en-US" w:eastAsia="zh-CN"/>
            </w:rPr>
            <w:fldChar w:fldCharType="separate"/>
          </w:r>
          <w:r>
            <w:rPr>
              <w:rFonts w:hint="eastAsia"/>
            </w:rPr>
            <w:t>第8节 离散方案与求解算法</w:t>
          </w:r>
          <w:r>
            <w:tab/>
          </w:r>
          <w:r>
            <w:fldChar w:fldCharType="begin"/>
          </w:r>
          <w:r>
            <w:instrText xml:space="preserve"> PAGEREF _Toc18689 \h </w:instrText>
          </w:r>
          <w:r>
            <w:fldChar w:fldCharType="separate"/>
          </w:r>
          <w:r>
            <w:t>10</w:t>
          </w:r>
          <w:r>
            <w:fldChar w:fldCharType="end"/>
          </w:r>
          <w:r>
            <w:rPr>
              <w:rFonts w:hint="eastAsia" w:ascii="黑体" w:hAnsi="黑体" w:eastAsia="黑体" w:cs="黑体"/>
              <w:bCs/>
              <w:szCs w:val="44"/>
              <w:lang w:val="en-US" w:eastAsia="zh-CN"/>
            </w:rPr>
            <w:fldChar w:fldCharType="end"/>
          </w:r>
        </w:p>
        <w:p w14:paraId="75759D90">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_Toc30582 </w:instrText>
          </w:r>
          <w:r>
            <w:rPr>
              <w:rFonts w:hint="eastAsia" w:ascii="黑体" w:hAnsi="黑体" w:eastAsia="黑体" w:cs="黑体"/>
              <w:bCs/>
              <w:szCs w:val="44"/>
              <w:lang w:val="en-US" w:eastAsia="zh-CN"/>
            </w:rPr>
            <w:fldChar w:fldCharType="separate"/>
          </w:r>
          <w:r>
            <w:rPr>
              <w:rFonts w:hint="eastAsia"/>
            </w:rPr>
            <w:t>第9节 时间步长与收敛性判据</w:t>
          </w:r>
          <w:r>
            <w:tab/>
          </w:r>
          <w:r>
            <w:fldChar w:fldCharType="begin"/>
          </w:r>
          <w:r>
            <w:instrText xml:space="preserve"> PAGEREF _Toc30582 \h </w:instrText>
          </w:r>
          <w:r>
            <w:fldChar w:fldCharType="separate"/>
          </w:r>
          <w:r>
            <w:t>10</w:t>
          </w:r>
          <w:r>
            <w:fldChar w:fldCharType="end"/>
          </w:r>
          <w:r>
            <w:rPr>
              <w:rFonts w:hint="eastAsia" w:ascii="黑体" w:hAnsi="黑体" w:eastAsia="黑体" w:cs="黑体"/>
              <w:bCs/>
              <w:szCs w:val="44"/>
              <w:lang w:val="en-US" w:eastAsia="zh-CN"/>
            </w:rPr>
            <w:fldChar w:fldCharType="end"/>
          </w:r>
        </w:p>
        <w:p w14:paraId="307A4783">
          <w:pPr>
            <w:pStyle w:val="7"/>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_Toc25818 </w:instrText>
          </w:r>
          <w:r>
            <w:rPr>
              <w:rFonts w:hint="eastAsia" w:ascii="黑体" w:hAnsi="黑体" w:eastAsia="黑体" w:cs="黑体"/>
              <w:bCs/>
              <w:szCs w:val="44"/>
              <w:lang w:val="en-US" w:eastAsia="zh-CN"/>
            </w:rPr>
            <w:fldChar w:fldCharType="separate"/>
          </w:r>
          <w:r>
            <w:rPr>
              <w:rFonts w:hint="eastAsia"/>
            </w:rPr>
            <w:t>第3章 评估流程与计算方法</w:t>
          </w:r>
          <w:r>
            <w:tab/>
          </w:r>
          <w:r>
            <w:fldChar w:fldCharType="begin"/>
          </w:r>
          <w:r>
            <w:instrText xml:space="preserve"> PAGEREF _Toc25818 \h </w:instrText>
          </w:r>
          <w:r>
            <w:fldChar w:fldCharType="separate"/>
          </w:r>
          <w:r>
            <w:t>11</w:t>
          </w:r>
          <w:r>
            <w:fldChar w:fldCharType="end"/>
          </w:r>
          <w:r>
            <w:rPr>
              <w:rFonts w:hint="eastAsia" w:ascii="黑体" w:hAnsi="黑体" w:eastAsia="黑体" w:cs="黑体"/>
              <w:bCs/>
              <w:szCs w:val="44"/>
              <w:lang w:val="en-US" w:eastAsia="zh-CN"/>
            </w:rPr>
            <w:fldChar w:fldCharType="end"/>
          </w:r>
        </w:p>
        <w:p w14:paraId="1FAA5F00">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_Toc3605 </w:instrText>
          </w:r>
          <w:r>
            <w:rPr>
              <w:rFonts w:hint="eastAsia" w:ascii="黑体" w:hAnsi="黑体" w:eastAsia="黑体" w:cs="黑体"/>
              <w:bCs/>
              <w:szCs w:val="44"/>
              <w:lang w:val="en-US" w:eastAsia="zh-CN"/>
            </w:rPr>
            <w:fldChar w:fldCharType="separate"/>
          </w:r>
          <w:r>
            <w:rPr>
              <w:rFonts w:hint="eastAsia"/>
            </w:rPr>
            <w:t>第1节 一般规定</w:t>
          </w:r>
          <w:r>
            <w:tab/>
          </w:r>
          <w:r>
            <w:fldChar w:fldCharType="begin"/>
          </w:r>
          <w:r>
            <w:instrText xml:space="preserve"> PAGEREF _Toc3605 \h </w:instrText>
          </w:r>
          <w:r>
            <w:fldChar w:fldCharType="separate"/>
          </w:r>
          <w:r>
            <w:t>11</w:t>
          </w:r>
          <w:r>
            <w:fldChar w:fldCharType="end"/>
          </w:r>
          <w:r>
            <w:rPr>
              <w:rFonts w:hint="eastAsia" w:ascii="黑体" w:hAnsi="黑体" w:eastAsia="黑体" w:cs="黑体"/>
              <w:bCs/>
              <w:szCs w:val="44"/>
              <w:lang w:val="en-US" w:eastAsia="zh-CN"/>
            </w:rPr>
            <w:fldChar w:fldCharType="end"/>
          </w:r>
        </w:p>
        <w:p w14:paraId="0CA3EDF6">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_Toc27424 </w:instrText>
          </w:r>
          <w:r>
            <w:rPr>
              <w:rFonts w:hint="eastAsia" w:ascii="黑体" w:hAnsi="黑体" w:eastAsia="黑体" w:cs="黑体"/>
              <w:bCs/>
              <w:szCs w:val="44"/>
              <w:lang w:val="en-US" w:eastAsia="zh-CN"/>
            </w:rPr>
            <w:fldChar w:fldCharType="separate"/>
          </w:r>
          <w:r>
            <w:rPr>
              <w:rFonts w:hint="eastAsia"/>
            </w:rPr>
            <w:t>第2节 空中运动阶段评估</w:t>
          </w:r>
          <w:r>
            <w:tab/>
          </w:r>
          <w:r>
            <w:fldChar w:fldCharType="begin"/>
          </w:r>
          <w:r>
            <w:instrText xml:space="preserve"> PAGEREF _Toc27424 \h </w:instrText>
          </w:r>
          <w:r>
            <w:fldChar w:fldCharType="separate"/>
          </w:r>
          <w:r>
            <w:t>12</w:t>
          </w:r>
          <w:r>
            <w:fldChar w:fldCharType="end"/>
          </w:r>
          <w:r>
            <w:rPr>
              <w:rFonts w:hint="eastAsia" w:ascii="黑体" w:hAnsi="黑体" w:eastAsia="黑体" w:cs="黑体"/>
              <w:bCs/>
              <w:szCs w:val="44"/>
              <w:lang w:val="en-US" w:eastAsia="zh-CN"/>
            </w:rPr>
            <w:fldChar w:fldCharType="end"/>
          </w:r>
        </w:p>
        <w:p w14:paraId="058AAB44">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_Toc761 </w:instrText>
          </w:r>
          <w:r>
            <w:rPr>
              <w:rFonts w:hint="eastAsia" w:ascii="黑体" w:hAnsi="黑体" w:eastAsia="黑体" w:cs="黑体"/>
              <w:bCs/>
              <w:szCs w:val="44"/>
              <w:lang w:val="en-US" w:eastAsia="zh-CN"/>
            </w:rPr>
            <w:fldChar w:fldCharType="separate"/>
          </w:r>
          <w:r>
            <w:rPr>
              <w:rFonts w:hint="eastAsia"/>
            </w:rPr>
            <w:t>第3节 入水砰击阶段评估</w:t>
          </w:r>
          <w:r>
            <w:tab/>
          </w:r>
          <w:r>
            <w:fldChar w:fldCharType="begin"/>
          </w:r>
          <w:r>
            <w:instrText xml:space="preserve"> PAGEREF _Toc761 \h </w:instrText>
          </w:r>
          <w:r>
            <w:fldChar w:fldCharType="separate"/>
          </w:r>
          <w:r>
            <w:t>12</w:t>
          </w:r>
          <w:r>
            <w:fldChar w:fldCharType="end"/>
          </w:r>
          <w:r>
            <w:rPr>
              <w:rFonts w:hint="eastAsia" w:ascii="黑体" w:hAnsi="黑体" w:eastAsia="黑体" w:cs="黑体"/>
              <w:bCs/>
              <w:szCs w:val="44"/>
              <w:lang w:val="en-US" w:eastAsia="zh-CN"/>
            </w:rPr>
            <w:fldChar w:fldCharType="end"/>
          </w:r>
        </w:p>
        <w:p w14:paraId="126772BD">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_Toc17137 </w:instrText>
          </w:r>
          <w:r>
            <w:rPr>
              <w:rFonts w:hint="eastAsia" w:ascii="黑体" w:hAnsi="黑体" w:eastAsia="黑体" w:cs="黑体"/>
              <w:bCs/>
              <w:szCs w:val="44"/>
              <w:lang w:val="en-US" w:eastAsia="zh-CN"/>
            </w:rPr>
            <w:fldChar w:fldCharType="separate"/>
          </w:r>
          <w:r>
            <w:rPr>
              <w:rFonts w:hint="eastAsia"/>
            </w:rPr>
            <w:t>第4节 计算工况</w:t>
          </w:r>
          <w:r>
            <w:tab/>
          </w:r>
          <w:r>
            <w:fldChar w:fldCharType="begin"/>
          </w:r>
          <w:r>
            <w:instrText xml:space="preserve"> PAGEREF _Toc17137 \h </w:instrText>
          </w:r>
          <w:r>
            <w:fldChar w:fldCharType="separate"/>
          </w:r>
          <w:r>
            <w:t>13</w:t>
          </w:r>
          <w:r>
            <w:fldChar w:fldCharType="end"/>
          </w:r>
          <w:r>
            <w:rPr>
              <w:rFonts w:hint="eastAsia" w:ascii="黑体" w:hAnsi="黑体" w:eastAsia="黑体" w:cs="黑体"/>
              <w:bCs/>
              <w:szCs w:val="44"/>
              <w:lang w:val="en-US" w:eastAsia="zh-CN"/>
            </w:rPr>
            <w:fldChar w:fldCharType="end"/>
          </w:r>
        </w:p>
        <w:p w14:paraId="4E6B950D">
          <w:pPr>
            <w:pStyle w:val="7"/>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_Toc28469 </w:instrText>
          </w:r>
          <w:r>
            <w:rPr>
              <w:rFonts w:hint="eastAsia" w:ascii="黑体" w:hAnsi="黑体" w:eastAsia="黑体" w:cs="黑体"/>
              <w:bCs/>
              <w:szCs w:val="44"/>
              <w:lang w:val="en-US" w:eastAsia="zh-CN"/>
            </w:rPr>
            <w:fldChar w:fldCharType="separate"/>
          </w:r>
          <w:r>
            <w:rPr>
              <w:rFonts w:hint="eastAsia"/>
            </w:rPr>
            <w:t>第4章 验证与确认</w:t>
          </w:r>
          <w:r>
            <w:tab/>
          </w:r>
          <w:r>
            <w:fldChar w:fldCharType="begin"/>
          </w:r>
          <w:r>
            <w:instrText xml:space="preserve"> PAGEREF _Toc28469 \h </w:instrText>
          </w:r>
          <w:r>
            <w:fldChar w:fldCharType="separate"/>
          </w:r>
          <w:r>
            <w:t>15</w:t>
          </w:r>
          <w:r>
            <w:fldChar w:fldCharType="end"/>
          </w:r>
          <w:r>
            <w:rPr>
              <w:rFonts w:hint="eastAsia" w:ascii="黑体" w:hAnsi="黑体" w:eastAsia="黑体" w:cs="黑体"/>
              <w:bCs/>
              <w:szCs w:val="44"/>
              <w:lang w:val="en-US" w:eastAsia="zh-CN"/>
            </w:rPr>
            <w:fldChar w:fldCharType="end"/>
          </w:r>
        </w:p>
        <w:p w14:paraId="0D2C592C">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_Toc24017 </w:instrText>
          </w:r>
          <w:r>
            <w:rPr>
              <w:rFonts w:hint="eastAsia" w:ascii="黑体" w:hAnsi="黑体" w:eastAsia="黑体" w:cs="黑体"/>
              <w:bCs/>
              <w:szCs w:val="44"/>
              <w:lang w:val="en-US" w:eastAsia="zh-CN"/>
            </w:rPr>
            <w:fldChar w:fldCharType="separate"/>
          </w:r>
          <w:r>
            <w:rPr>
              <w:rFonts w:hint="eastAsia"/>
            </w:rPr>
            <w:t>第1节 一般规定</w:t>
          </w:r>
          <w:r>
            <w:tab/>
          </w:r>
          <w:r>
            <w:fldChar w:fldCharType="begin"/>
          </w:r>
          <w:r>
            <w:instrText xml:space="preserve"> PAGEREF _Toc24017 \h </w:instrText>
          </w:r>
          <w:r>
            <w:fldChar w:fldCharType="separate"/>
          </w:r>
          <w:r>
            <w:t>15</w:t>
          </w:r>
          <w:r>
            <w:fldChar w:fldCharType="end"/>
          </w:r>
          <w:r>
            <w:rPr>
              <w:rFonts w:hint="eastAsia" w:ascii="黑体" w:hAnsi="黑体" w:eastAsia="黑体" w:cs="黑体"/>
              <w:bCs/>
              <w:szCs w:val="44"/>
              <w:lang w:val="en-US" w:eastAsia="zh-CN"/>
            </w:rPr>
            <w:fldChar w:fldCharType="end"/>
          </w:r>
        </w:p>
        <w:p w14:paraId="59FE1037">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_Toc20469 </w:instrText>
          </w:r>
          <w:r>
            <w:rPr>
              <w:rFonts w:hint="eastAsia" w:ascii="黑体" w:hAnsi="黑体" w:eastAsia="黑体" w:cs="黑体"/>
              <w:bCs/>
              <w:szCs w:val="44"/>
              <w:lang w:val="en-US" w:eastAsia="zh-CN"/>
            </w:rPr>
            <w:fldChar w:fldCharType="separate"/>
          </w:r>
          <w:r>
            <w:rPr>
              <w:rFonts w:hint="eastAsia"/>
            </w:rPr>
            <w:t>第2节 基准标模验证</w:t>
          </w:r>
          <w:r>
            <w:tab/>
          </w:r>
          <w:r>
            <w:fldChar w:fldCharType="begin"/>
          </w:r>
          <w:r>
            <w:instrText xml:space="preserve"> PAGEREF _Toc20469 \h </w:instrText>
          </w:r>
          <w:r>
            <w:fldChar w:fldCharType="separate"/>
          </w:r>
          <w:r>
            <w:t>15</w:t>
          </w:r>
          <w:r>
            <w:fldChar w:fldCharType="end"/>
          </w:r>
          <w:r>
            <w:rPr>
              <w:rFonts w:hint="eastAsia" w:ascii="黑体" w:hAnsi="黑体" w:eastAsia="黑体" w:cs="黑体"/>
              <w:bCs/>
              <w:szCs w:val="44"/>
              <w:lang w:val="en-US" w:eastAsia="zh-CN"/>
            </w:rPr>
            <w:fldChar w:fldCharType="end"/>
          </w:r>
        </w:p>
        <w:p w14:paraId="77AE795E">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_Toc14098 </w:instrText>
          </w:r>
          <w:r>
            <w:rPr>
              <w:rFonts w:hint="eastAsia" w:ascii="黑体" w:hAnsi="黑体" w:eastAsia="黑体" w:cs="黑体"/>
              <w:bCs/>
              <w:szCs w:val="44"/>
              <w:lang w:val="en-US" w:eastAsia="zh-CN"/>
            </w:rPr>
            <w:fldChar w:fldCharType="separate"/>
          </w:r>
          <w:r>
            <w:rPr>
              <w:rFonts w:hint="eastAsia"/>
            </w:rPr>
            <w:t>第3节 网格与时间步收敛性分析</w:t>
          </w:r>
          <w:r>
            <w:tab/>
          </w:r>
          <w:r>
            <w:fldChar w:fldCharType="begin"/>
          </w:r>
          <w:r>
            <w:instrText xml:space="preserve"> PAGEREF _Toc14098 \h </w:instrText>
          </w:r>
          <w:r>
            <w:fldChar w:fldCharType="separate"/>
          </w:r>
          <w:r>
            <w:t>16</w:t>
          </w:r>
          <w:r>
            <w:fldChar w:fldCharType="end"/>
          </w:r>
          <w:r>
            <w:rPr>
              <w:rFonts w:hint="eastAsia" w:ascii="黑体" w:hAnsi="黑体" w:eastAsia="黑体" w:cs="黑体"/>
              <w:bCs/>
              <w:szCs w:val="44"/>
              <w:lang w:val="en-US" w:eastAsia="zh-CN"/>
            </w:rPr>
            <w:fldChar w:fldCharType="end"/>
          </w:r>
        </w:p>
        <w:p w14:paraId="3E1BD6DE">
          <w:pPr>
            <w:pStyle w:val="7"/>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_Toc8908 </w:instrText>
          </w:r>
          <w:r>
            <w:rPr>
              <w:rFonts w:hint="eastAsia" w:ascii="黑体" w:hAnsi="黑体" w:eastAsia="黑体" w:cs="黑体"/>
              <w:bCs/>
              <w:szCs w:val="44"/>
              <w:lang w:val="en-US" w:eastAsia="zh-CN"/>
            </w:rPr>
            <w:fldChar w:fldCharType="separate"/>
          </w:r>
          <w:r>
            <w:rPr>
              <w:rFonts w:hint="eastAsia"/>
            </w:rPr>
            <w:t>第5章 报告要求</w:t>
          </w:r>
          <w:r>
            <w:tab/>
          </w:r>
          <w:r>
            <w:fldChar w:fldCharType="begin"/>
          </w:r>
          <w:r>
            <w:instrText xml:space="preserve"> PAGEREF _Toc8908 \h </w:instrText>
          </w:r>
          <w:r>
            <w:fldChar w:fldCharType="separate"/>
          </w:r>
          <w:r>
            <w:t>17</w:t>
          </w:r>
          <w:r>
            <w:fldChar w:fldCharType="end"/>
          </w:r>
          <w:r>
            <w:rPr>
              <w:rFonts w:hint="eastAsia" w:ascii="黑体" w:hAnsi="黑体" w:eastAsia="黑体" w:cs="黑体"/>
              <w:bCs/>
              <w:szCs w:val="44"/>
              <w:lang w:val="en-US" w:eastAsia="zh-CN"/>
            </w:rPr>
            <w:fldChar w:fldCharType="end"/>
          </w:r>
        </w:p>
        <w:p w14:paraId="6BDD2292">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_Toc12126 </w:instrText>
          </w:r>
          <w:r>
            <w:rPr>
              <w:rFonts w:hint="eastAsia" w:ascii="黑体" w:hAnsi="黑体" w:eastAsia="黑体" w:cs="黑体"/>
              <w:bCs/>
              <w:szCs w:val="44"/>
              <w:lang w:val="en-US" w:eastAsia="zh-CN"/>
            </w:rPr>
            <w:fldChar w:fldCharType="separate"/>
          </w:r>
          <w:r>
            <w:rPr>
              <w:rFonts w:hint="eastAsia"/>
            </w:rPr>
            <w:t>第1节 一般规定</w:t>
          </w:r>
          <w:r>
            <w:tab/>
          </w:r>
          <w:r>
            <w:fldChar w:fldCharType="begin"/>
          </w:r>
          <w:r>
            <w:instrText xml:space="preserve"> PAGEREF _Toc12126 \h </w:instrText>
          </w:r>
          <w:r>
            <w:fldChar w:fldCharType="separate"/>
          </w:r>
          <w:r>
            <w:t>17</w:t>
          </w:r>
          <w:r>
            <w:fldChar w:fldCharType="end"/>
          </w:r>
          <w:r>
            <w:rPr>
              <w:rFonts w:hint="eastAsia" w:ascii="黑体" w:hAnsi="黑体" w:eastAsia="黑体" w:cs="黑体"/>
              <w:bCs/>
              <w:szCs w:val="44"/>
              <w:lang w:val="en-US" w:eastAsia="zh-CN"/>
            </w:rPr>
            <w:fldChar w:fldCharType="end"/>
          </w:r>
        </w:p>
        <w:p w14:paraId="4B10AE12">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_Toc16792 </w:instrText>
          </w:r>
          <w:r>
            <w:rPr>
              <w:rFonts w:hint="eastAsia" w:ascii="黑体" w:hAnsi="黑体" w:eastAsia="黑体" w:cs="黑体"/>
              <w:bCs/>
              <w:szCs w:val="44"/>
              <w:lang w:val="en-US" w:eastAsia="zh-CN"/>
            </w:rPr>
            <w:fldChar w:fldCharType="separate"/>
          </w:r>
          <w:r>
            <w:rPr>
              <w:rFonts w:hint="eastAsia"/>
            </w:rPr>
            <w:t>第2节 简介与目标</w:t>
          </w:r>
          <w:r>
            <w:tab/>
          </w:r>
          <w:r>
            <w:fldChar w:fldCharType="begin"/>
          </w:r>
          <w:r>
            <w:instrText xml:space="preserve"> PAGEREF _Toc16792 \h </w:instrText>
          </w:r>
          <w:r>
            <w:fldChar w:fldCharType="separate"/>
          </w:r>
          <w:r>
            <w:t>17</w:t>
          </w:r>
          <w:r>
            <w:fldChar w:fldCharType="end"/>
          </w:r>
          <w:r>
            <w:rPr>
              <w:rFonts w:hint="eastAsia" w:ascii="黑体" w:hAnsi="黑体" w:eastAsia="黑体" w:cs="黑体"/>
              <w:bCs/>
              <w:szCs w:val="44"/>
              <w:lang w:val="en-US" w:eastAsia="zh-CN"/>
            </w:rPr>
            <w:fldChar w:fldCharType="end"/>
          </w:r>
        </w:p>
        <w:p w14:paraId="10FC3060">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_Toc11660 </w:instrText>
          </w:r>
          <w:r>
            <w:rPr>
              <w:rFonts w:hint="eastAsia" w:ascii="黑体" w:hAnsi="黑体" w:eastAsia="黑体" w:cs="黑体"/>
              <w:bCs/>
              <w:szCs w:val="44"/>
              <w:lang w:val="en-US" w:eastAsia="zh-CN"/>
            </w:rPr>
            <w:fldChar w:fldCharType="separate"/>
          </w:r>
          <w:r>
            <w:rPr>
              <w:rFonts w:hint="eastAsia"/>
            </w:rPr>
            <w:t>第3节 图纸资料</w:t>
          </w:r>
          <w:r>
            <w:tab/>
          </w:r>
          <w:r>
            <w:fldChar w:fldCharType="begin"/>
          </w:r>
          <w:r>
            <w:instrText xml:space="preserve"> PAGEREF _Toc11660 \h </w:instrText>
          </w:r>
          <w:r>
            <w:fldChar w:fldCharType="separate"/>
          </w:r>
          <w:r>
            <w:t>17</w:t>
          </w:r>
          <w:r>
            <w:fldChar w:fldCharType="end"/>
          </w:r>
          <w:r>
            <w:rPr>
              <w:rFonts w:hint="eastAsia" w:ascii="黑体" w:hAnsi="黑体" w:eastAsia="黑体" w:cs="黑体"/>
              <w:bCs/>
              <w:szCs w:val="44"/>
              <w:lang w:val="en-US" w:eastAsia="zh-CN"/>
            </w:rPr>
            <w:fldChar w:fldCharType="end"/>
          </w:r>
        </w:p>
        <w:p w14:paraId="5E62B994">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_Toc25214 </w:instrText>
          </w:r>
          <w:r>
            <w:rPr>
              <w:rFonts w:hint="eastAsia" w:ascii="黑体" w:hAnsi="黑体" w:eastAsia="黑体" w:cs="黑体"/>
              <w:bCs/>
              <w:szCs w:val="44"/>
              <w:lang w:val="en-US" w:eastAsia="zh-CN"/>
            </w:rPr>
            <w:fldChar w:fldCharType="separate"/>
          </w:r>
          <w:r>
            <w:rPr>
              <w:rFonts w:hint="eastAsia"/>
            </w:rPr>
            <w:t>第4节 艇型描述</w:t>
          </w:r>
          <w:r>
            <w:tab/>
          </w:r>
          <w:r>
            <w:fldChar w:fldCharType="begin"/>
          </w:r>
          <w:r>
            <w:instrText xml:space="preserve"> PAGEREF _Toc25214 \h </w:instrText>
          </w:r>
          <w:r>
            <w:fldChar w:fldCharType="separate"/>
          </w:r>
          <w:r>
            <w:t>17</w:t>
          </w:r>
          <w:r>
            <w:fldChar w:fldCharType="end"/>
          </w:r>
          <w:r>
            <w:rPr>
              <w:rFonts w:hint="eastAsia" w:ascii="黑体" w:hAnsi="黑体" w:eastAsia="黑体" w:cs="黑体"/>
              <w:bCs/>
              <w:szCs w:val="44"/>
              <w:lang w:val="en-US" w:eastAsia="zh-CN"/>
            </w:rPr>
            <w:fldChar w:fldCharType="end"/>
          </w:r>
        </w:p>
        <w:p w14:paraId="0F568EDF">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_Toc30506 </w:instrText>
          </w:r>
          <w:r>
            <w:rPr>
              <w:rFonts w:hint="eastAsia" w:ascii="黑体" w:hAnsi="黑体" w:eastAsia="黑体" w:cs="黑体"/>
              <w:bCs/>
              <w:szCs w:val="44"/>
              <w:lang w:val="en-US" w:eastAsia="zh-CN"/>
            </w:rPr>
            <w:fldChar w:fldCharType="separate"/>
          </w:r>
          <w:r>
            <w:rPr>
              <w:rFonts w:hint="eastAsia"/>
            </w:rPr>
            <w:t>第5节 CFD软件及版本</w:t>
          </w:r>
          <w:r>
            <w:tab/>
          </w:r>
          <w:r>
            <w:fldChar w:fldCharType="begin"/>
          </w:r>
          <w:r>
            <w:instrText xml:space="preserve"> PAGEREF _Toc30506 \h </w:instrText>
          </w:r>
          <w:r>
            <w:fldChar w:fldCharType="separate"/>
          </w:r>
          <w:r>
            <w:t>18</w:t>
          </w:r>
          <w:r>
            <w:fldChar w:fldCharType="end"/>
          </w:r>
          <w:r>
            <w:rPr>
              <w:rFonts w:hint="eastAsia" w:ascii="黑体" w:hAnsi="黑体" w:eastAsia="黑体" w:cs="黑体"/>
              <w:bCs/>
              <w:szCs w:val="44"/>
              <w:lang w:val="en-US" w:eastAsia="zh-CN"/>
            </w:rPr>
            <w:fldChar w:fldCharType="end"/>
          </w:r>
        </w:p>
        <w:p w14:paraId="541F31A9">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_Toc1227 </w:instrText>
          </w:r>
          <w:r>
            <w:rPr>
              <w:rFonts w:hint="eastAsia" w:ascii="黑体" w:hAnsi="黑体" w:eastAsia="黑体" w:cs="黑体"/>
              <w:bCs/>
              <w:szCs w:val="44"/>
              <w:lang w:val="en-US" w:eastAsia="zh-CN"/>
            </w:rPr>
            <w:fldChar w:fldCharType="separate"/>
          </w:r>
          <w:r>
            <w:rPr>
              <w:rFonts w:hint="eastAsia"/>
            </w:rPr>
            <w:t>第6节 数值模型说明与验证</w:t>
          </w:r>
          <w:r>
            <w:tab/>
          </w:r>
          <w:r>
            <w:fldChar w:fldCharType="begin"/>
          </w:r>
          <w:r>
            <w:instrText xml:space="preserve"> PAGEREF _Toc1227 \h </w:instrText>
          </w:r>
          <w:r>
            <w:fldChar w:fldCharType="separate"/>
          </w:r>
          <w:r>
            <w:t>18</w:t>
          </w:r>
          <w:r>
            <w:fldChar w:fldCharType="end"/>
          </w:r>
          <w:r>
            <w:rPr>
              <w:rFonts w:hint="eastAsia" w:ascii="黑体" w:hAnsi="黑体" w:eastAsia="黑体" w:cs="黑体"/>
              <w:bCs/>
              <w:szCs w:val="44"/>
              <w:lang w:val="en-US" w:eastAsia="zh-CN"/>
            </w:rPr>
            <w:fldChar w:fldCharType="end"/>
          </w:r>
        </w:p>
        <w:p w14:paraId="3B02955C">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_Toc1643 </w:instrText>
          </w:r>
          <w:r>
            <w:rPr>
              <w:rFonts w:hint="eastAsia" w:ascii="黑体" w:hAnsi="黑体" w:eastAsia="黑体" w:cs="黑体"/>
              <w:bCs/>
              <w:szCs w:val="44"/>
              <w:lang w:val="en-US" w:eastAsia="zh-CN"/>
            </w:rPr>
            <w:fldChar w:fldCharType="separate"/>
          </w:r>
          <w:r>
            <w:rPr>
              <w:rFonts w:hint="eastAsia"/>
            </w:rPr>
            <w:t>第7节 评估结果</w:t>
          </w:r>
          <w:r>
            <w:tab/>
          </w:r>
          <w:r>
            <w:fldChar w:fldCharType="begin"/>
          </w:r>
          <w:r>
            <w:instrText xml:space="preserve"> PAGEREF _Toc1643 \h </w:instrText>
          </w:r>
          <w:r>
            <w:fldChar w:fldCharType="separate"/>
          </w:r>
          <w:r>
            <w:t>20</w:t>
          </w:r>
          <w:r>
            <w:fldChar w:fldCharType="end"/>
          </w:r>
          <w:r>
            <w:rPr>
              <w:rFonts w:hint="eastAsia" w:ascii="黑体" w:hAnsi="黑体" w:eastAsia="黑体" w:cs="黑体"/>
              <w:bCs/>
              <w:szCs w:val="44"/>
              <w:lang w:val="en-US" w:eastAsia="zh-CN"/>
            </w:rPr>
            <w:fldChar w:fldCharType="end"/>
          </w:r>
        </w:p>
        <w:p w14:paraId="1AA44395">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_Toc6579 </w:instrText>
          </w:r>
          <w:r>
            <w:rPr>
              <w:rFonts w:hint="eastAsia" w:ascii="黑体" w:hAnsi="黑体" w:eastAsia="黑体" w:cs="黑体"/>
              <w:bCs/>
              <w:szCs w:val="44"/>
              <w:lang w:val="en-US" w:eastAsia="zh-CN"/>
            </w:rPr>
            <w:fldChar w:fldCharType="separate"/>
          </w:r>
          <w:r>
            <w:rPr>
              <w:rFonts w:hint="eastAsia"/>
            </w:rPr>
            <w:t>第8节 结论与建议</w:t>
          </w:r>
          <w:r>
            <w:tab/>
          </w:r>
          <w:r>
            <w:fldChar w:fldCharType="begin"/>
          </w:r>
          <w:r>
            <w:instrText xml:space="preserve"> PAGEREF _Toc6579 \h </w:instrText>
          </w:r>
          <w:r>
            <w:fldChar w:fldCharType="separate"/>
          </w:r>
          <w:r>
            <w:t>21</w:t>
          </w:r>
          <w:r>
            <w:fldChar w:fldCharType="end"/>
          </w:r>
          <w:r>
            <w:rPr>
              <w:rFonts w:hint="eastAsia" w:ascii="黑体" w:hAnsi="黑体" w:eastAsia="黑体" w:cs="黑体"/>
              <w:bCs/>
              <w:szCs w:val="44"/>
              <w:lang w:val="en-US" w:eastAsia="zh-CN"/>
            </w:rPr>
            <w:fldChar w:fldCharType="end"/>
          </w:r>
        </w:p>
        <w:p w14:paraId="1E818D39">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_Toc4176 </w:instrText>
          </w:r>
          <w:r>
            <w:rPr>
              <w:rFonts w:hint="eastAsia" w:ascii="黑体" w:hAnsi="黑体" w:eastAsia="黑体" w:cs="黑体"/>
              <w:bCs/>
              <w:szCs w:val="44"/>
              <w:lang w:val="en-US" w:eastAsia="zh-CN"/>
            </w:rPr>
            <w:fldChar w:fldCharType="separate"/>
          </w:r>
          <w:r>
            <w:rPr>
              <w:rFonts w:hint="eastAsia"/>
            </w:rPr>
            <w:t>5.8.2 建议</w:t>
          </w:r>
          <w:r>
            <w:tab/>
          </w:r>
          <w:r>
            <w:fldChar w:fldCharType="begin"/>
          </w:r>
          <w:r>
            <w:instrText xml:space="preserve"> PAGEREF _Toc4176 \h </w:instrText>
          </w:r>
          <w:r>
            <w:fldChar w:fldCharType="separate"/>
          </w:r>
          <w:r>
            <w:t>21</w:t>
          </w:r>
          <w:r>
            <w:fldChar w:fldCharType="end"/>
          </w:r>
          <w:r>
            <w:rPr>
              <w:rFonts w:hint="eastAsia" w:ascii="黑体" w:hAnsi="黑体" w:eastAsia="黑体" w:cs="黑体"/>
              <w:bCs/>
              <w:szCs w:val="44"/>
              <w:lang w:val="en-US" w:eastAsia="zh-CN"/>
            </w:rPr>
            <w:fldChar w:fldCharType="end"/>
          </w:r>
        </w:p>
        <w:p w14:paraId="5556B0A3">
          <w:pPr>
            <w:pStyle w:val="7"/>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_Toc28751 </w:instrText>
          </w:r>
          <w:r>
            <w:rPr>
              <w:rFonts w:hint="eastAsia" w:ascii="黑体" w:hAnsi="黑体" w:eastAsia="黑体" w:cs="黑体"/>
              <w:bCs/>
              <w:szCs w:val="44"/>
              <w:lang w:val="en-US" w:eastAsia="zh-CN"/>
            </w:rPr>
            <w:fldChar w:fldCharType="separate"/>
          </w:r>
          <w:r>
            <w:rPr>
              <w:rFonts w:hint="eastAsia"/>
            </w:rPr>
            <w:t>附录 报告模板</w:t>
          </w:r>
          <w:r>
            <w:tab/>
          </w:r>
          <w:r>
            <w:fldChar w:fldCharType="begin"/>
          </w:r>
          <w:r>
            <w:instrText xml:space="preserve"> PAGEREF _Toc28751 \h </w:instrText>
          </w:r>
          <w:r>
            <w:fldChar w:fldCharType="separate"/>
          </w:r>
          <w:r>
            <w:t>22</w:t>
          </w:r>
          <w:r>
            <w:fldChar w:fldCharType="end"/>
          </w:r>
          <w:r>
            <w:rPr>
              <w:rFonts w:hint="eastAsia" w:ascii="黑体" w:hAnsi="黑体" w:eastAsia="黑体" w:cs="黑体"/>
              <w:bCs/>
              <w:szCs w:val="44"/>
              <w:lang w:val="en-US" w:eastAsia="zh-CN"/>
            </w:rPr>
            <w:fldChar w:fldCharType="end"/>
          </w:r>
        </w:p>
        <w:p w14:paraId="11637E87">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_Toc17730 </w:instrText>
          </w:r>
          <w:r>
            <w:rPr>
              <w:rFonts w:hint="eastAsia" w:ascii="黑体" w:hAnsi="黑体" w:eastAsia="黑体" w:cs="黑体"/>
              <w:bCs/>
              <w:szCs w:val="44"/>
              <w:lang w:val="en-US" w:eastAsia="zh-CN"/>
            </w:rPr>
            <w:fldChar w:fldCharType="separate"/>
          </w:r>
          <w:r>
            <w:rPr>
              <w:rFonts w:hint="eastAsia"/>
            </w:rPr>
            <w:t>1 简介与目标</w:t>
          </w:r>
          <w:r>
            <w:tab/>
          </w:r>
          <w:r>
            <w:fldChar w:fldCharType="begin"/>
          </w:r>
          <w:r>
            <w:instrText xml:space="preserve"> PAGEREF _Toc17730 \h </w:instrText>
          </w:r>
          <w:r>
            <w:fldChar w:fldCharType="separate"/>
          </w:r>
          <w:r>
            <w:t>22</w:t>
          </w:r>
          <w:r>
            <w:fldChar w:fldCharType="end"/>
          </w:r>
          <w:r>
            <w:rPr>
              <w:rFonts w:hint="eastAsia" w:ascii="黑体" w:hAnsi="黑体" w:eastAsia="黑体" w:cs="黑体"/>
              <w:bCs/>
              <w:szCs w:val="44"/>
              <w:lang w:val="en-US" w:eastAsia="zh-CN"/>
            </w:rPr>
            <w:fldChar w:fldCharType="end"/>
          </w:r>
        </w:p>
        <w:p w14:paraId="65BB7A9C">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_Toc26183 </w:instrText>
          </w:r>
          <w:r>
            <w:rPr>
              <w:rFonts w:hint="eastAsia" w:ascii="黑体" w:hAnsi="黑体" w:eastAsia="黑体" w:cs="黑体"/>
              <w:bCs/>
              <w:szCs w:val="44"/>
              <w:lang w:val="en-US" w:eastAsia="zh-CN"/>
            </w:rPr>
            <w:fldChar w:fldCharType="separate"/>
          </w:r>
          <w:r>
            <w:rPr>
              <w:rFonts w:hint="eastAsia"/>
            </w:rPr>
            <w:t>2 CFD软件与版本</w:t>
          </w:r>
          <w:r>
            <w:tab/>
          </w:r>
          <w:r>
            <w:fldChar w:fldCharType="begin"/>
          </w:r>
          <w:r>
            <w:instrText xml:space="preserve"> PAGEREF _Toc26183 \h </w:instrText>
          </w:r>
          <w:r>
            <w:fldChar w:fldCharType="separate"/>
          </w:r>
          <w:r>
            <w:t>22</w:t>
          </w:r>
          <w:r>
            <w:fldChar w:fldCharType="end"/>
          </w:r>
          <w:r>
            <w:rPr>
              <w:rFonts w:hint="eastAsia" w:ascii="黑体" w:hAnsi="黑体" w:eastAsia="黑体" w:cs="黑体"/>
              <w:bCs/>
              <w:szCs w:val="44"/>
              <w:lang w:val="en-US" w:eastAsia="zh-CN"/>
            </w:rPr>
            <w:fldChar w:fldCharType="end"/>
          </w:r>
        </w:p>
        <w:p w14:paraId="1035EC1B">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_Toc26503 </w:instrText>
          </w:r>
          <w:r>
            <w:rPr>
              <w:rFonts w:hint="eastAsia" w:ascii="黑体" w:hAnsi="黑体" w:eastAsia="黑体" w:cs="黑体"/>
              <w:bCs/>
              <w:szCs w:val="44"/>
              <w:lang w:val="en-US" w:eastAsia="zh-CN"/>
            </w:rPr>
            <w:fldChar w:fldCharType="separate"/>
          </w:r>
          <w:r>
            <w:rPr>
              <w:rFonts w:hint="eastAsia"/>
            </w:rPr>
            <w:t>3 艇型描述</w:t>
          </w:r>
          <w:r>
            <w:tab/>
          </w:r>
          <w:r>
            <w:fldChar w:fldCharType="begin"/>
          </w:r>
          <w:r>
            <w:instrText xml:space="preserve"> PAGEREF _Toc26503 \h </w:instrText>
          </w:r>
          <w:r>
            <w:fldChar w:fldCharType="separate"/>
          </w:r>
          <w:r>
            <w:t>22</w:t>
          </w:r>
          <w:r>
            <w:fldChar w:fldCharType="end"/>
          </w:r>
          <w:r>
            <w:rPr>
              <w:rFonts w:hint="eastAsia" w:ascii="黑体" w:hAnsi="黑体" w:eastAsia="黑体" w:cs="黑体"/>
              <w:bCs/>
              <w:szCs w:val="44"/>
              <w:lang w:val="en-US" w:eastAsia="zh-CN"/>
            </w:rPr>
            <w:fldChar w:fldCharType="end"/>
          </w:r>
        </w:p>
        <w:p w14:paraId="620E7D9E">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_Toc11019 </w:instrText>
          </w:r>
          <w:r>
            <w:rPr>
              <w:rFonts w:hint="eastAsia" w:ascii="黑体" w:hAnsi="黑体" w:eastAsia="黑体" w:cs="黑体"/>
              <w:bCs/>
              <w:szCs w:val="44"/>
              <w:lang w:val="en-US" w:eastAsia="zh-CN"/>
            </w:rPr>
            <w:fldChar w:fldCharType="separate"/>
          </w:r>
          <w:r>
            <w:rPr>
              <w:rFonts w:hint="eastAsia"/>
            </w:rPr>
            <w:t>4 数值模型</w:t>
          </w:r>
          <w:r>
            <w:tab/>
          </w:r>
          <w:r>
            <w:fldChar w:fldCharType="begin"/>
          </w:r>
          <w:r>
            <w:instrText xml:space="preserve"> PAGEREF _Toc11019 \h </w:instrText>
          </w:r>
          <w:r>
            <w:fldChar w:fldCharType="separate"/>
          </w:r>
          <w:r>
            <w:t>22</w:t>
          </w:r>
          <w:r>
            <w:fldChar w:fldCharType="end"/>
          </w:r>
          <w:r>
            <w:rPr>
              <w:rFonts w:hint="eastAsia" w:ascii="黑体" w:hAnsi="黑体" w:eastAsia="黑体" w:cs="黑体"/>
              <w:bCs/>
              <w:szCs w:val="44"/>
              <w:lang w:val="en-US" w:eastAsia="zh-CN"/>
            </w:rPr>
            <w:fldChar w:fldCharType="end"/>
          </w:r>
        </w:p>
        <w:p w14:paraId="11DCF244">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_Toc28200 </w:instrText>
          </w:r>
          <w:r>
            <w:rPr>
              <w:rFonts w:hint="eastAsia" w:ascii="黑体" w:hAnsi="黑体" w:eastAsia="黑体" w:cs="黑体"/>
              <w:bCs/>
              <w:szCs w:val="44"/>
              <w:lang w:val="en-US" w:eastAsia="zh-CN"/>
            </w:rPr>
            <w:fldChar w:fldCharType="separate"/>
          </w:r>
          <w:r>
            <w:rPr>
              <w:rFonts w:hint="eastAsia"/>
            </w:rPr>
            <w:t>5 验证与确认</w:t>
          </w:r>
          <w:r>
            <w:tab/>
          </w:r>
          <w:r>
            <w:fldChar w:fldCharType="begin"/>
          </w:r>
          <w:r>
            <w:instrText xml:space="preserve"> PAGEREF _Toc28200 \h </w:instrText>
          </w:r>
          <w:r>
            <w:fldChar w:fldCharType="separate"/>
          </w:r>
          <w:r>
            <w:t>22</w:t>
          </w:r>
          <w:r>
            <w:fldChar w:fldCharType="end"/>
          </w:r>
          <w:r>
            <w:rPr>
              <w:rFonts w:hint="eastAsia" w:ascii="黑体" w:hAnsi="黑体" w:eastAsia="黑体" w:cs="黑体"/>
              <w:bCs/>
              <w:szCs w:val="44"/>
              <w:lang w:val="en-US" w:eastAsia="zh-CN"/>
            </w:rPr>
            <w:fldChar w:fldCharType="end"/>
          </w:r>
        </w:p>
        <w:p w14:paraId="42A26E9E">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_Toc4484 </w:instrText>
          </w:r>
          <w:r>
            <w:rPr>
              <w:rFonts w:hint="eastAsia" w:ascii="黑体" w:hAnsi="黑体" w:eastAsia="黑体" w:cs="黑体"/>
              <w:bCs/>
              <w:szCs w:val="44"/>
              <w:lang w:val="en-US" w:eastAsia="zh-CN"/>
            </w:rPr>
            <w:fldChar w:fldCharType="separate"/>
          </w:r>
          <w:r>
            <w:rPr>
              <w:rFonts w:hint="eastAsia"/>
            </w:rPr>
            <w:t>6 空中运动阶段评估</w:t>
          </w:r>
          <w:r>
            <w:tab/>
          </w:r>
          <w:r>
            <w:fldChar w:fldCharType="begin"/>
          </w:r>
          <w:r>
            <w:instrText xml:space="preserve"> PAGEREF _Toc4484 \h </w:instrText>
          </w:r>
          <w:r>
            <w:fldChar w:fldCharType="separate"/>
          </w:r>
          <w:r>
            <w:t>22</w:t>
          </w:r>
          <w:r>
            <w:fldChar w:fldCharType="end"/>
          </w:r>
          <w:r>
            <w:rPr>
              <w:rFonts w:hint="eastAsia" w:ascii="黑体" w:hAnsi="黑体" w:eastAsia="黑体" w:cs="黑体"/>
              <w:bCs/>
              <w:szCs w:val="44"/>
              <w:lang w:val="en-US" w:eastAsia="zh-CN"/>
            </w:rPr>
            <w:fldChar w:fldCharType="end"/>
          </w:r>
        </w:p>
        <w:p w14:paraId="3A100BD2">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_Toc24649 </w:instrText>
          </w:r>
          <w:r>
            <w:rPr>
              <w:rFonts w:hint="eastAsia" w:ascii="黑体" w:hAnsi="黑体" w:eastAsia="黑体" w:cs="黑体"/>
              <w:bCs/>
              <w:szCs w:val="44"/>
              <w:lang w:val="en-US" w:eastAsia="zh-CN"/>
            </w:rPr>
            <w:fldChar w:fldCharType="separate"/>
          </w:r>
          <w:r>
            <w:rPr>
              <w:rFonts w:hint="eastAsia"/>
            </w:rPr>
            <w:t>7 入水砰击阶段评估</w:t>
          </w:r>
          <w:r>
            <w:tab/>
          </w:r>
          <w:r>
            <w:fldChar w:fldCharType="begin"/>
          </w:r>
          <w:r>
            <w:instrText xml:space="preserve"> PAGEREF _Toc24649 \h </w:instrText>
          </w:r>
          <w:r>
            <w:fldChar w:fldCharType="separate"/>
          </w:r>
          <w:r>
            <w:t>22</w:t>
          </w:r>
          <w:r>
            <w:fldChar w:fldCharType="end"/>
          </w:r>
          <w:r>
            <w:rPr>
              <w:rFonts w:hint="eastAsia" w:ascii="黑体" w:hAnsi="黑体" w:eastAsia="黑体" w:cs="黑体"/>
              <w:bCs/>
              <w:szCs w:val="44"/>
              <w:lang w:val="en-US" w:eastAsia="zh-CN"/>
            </w:rPr>
            <w:fldChar w:fldCharType="end"/>
          </w:r>
        </w:p>
        <w:p w14:paraId="2D77D98E">
          <w:pPr>
            <w:pStyle w:val="8"/>
            <w:tabs>
              <w:tab w:val="right" w:leader="dot" w:pos="8306"/>
            </w:tabs>
          </w:pPr>
          <w:r>
            <w:rPr>
              <w:rFonts w:hint="eastAsia" w:ascii="黑体" w:hAnsi="黑体" w:eastAsia="黑体" w:cs="黑体"/>
              <w:bCs/>
              <w:szCs w:val="44"/>
              <w:lang w:val="en-US" w:eastAsia="zh-CN"/>
            </w:rPr>
            <w:fldChar w:fldCharType="begin"/>
          </w:r>
          <w:r>
            <w:rPr>
              <w:rFonts w:hint="eastAsia" w:ascii="黑体" w:hAnsi="黑体" w:eastAsia="黑体" w:cs="黑体"/>
              <w:bCs/>
              <w:szCs w:val="44"/>
              <w:lang w:val="en-US" w:eastAsia="zh-CN"/>
            </w:rPr>
            <w:instrText xml:space="preserve"> HYPERLINK \l _Toc3236 </w:instrText>
          </w:r>
          <w:r>
            <w:rPr>
              <w:rFonts w:hint="eastAsia" w:ascii="黑体" w:hAnsi="黑体" w:eastAsia="黑体" w:cs="黑体"/>
              <w:bCs/>
              <w:szCs w:val="44"/>
              <w:lang w:val="en-US" w:eastAsia="zh-CN"/>
            </w:rPr>
            <w:fldChar w:fldCharType="separate"/>
          </w:r>
          <w:r>
            <w:rPr>
              <w:rFonts w:hint="eastAsia"/>
            </w:rPr>
            <w:t>8 结论与建议</w:t>
          </w:r>
          <w:r>
            <w:tab/>
          </w:r>
          <w:r>
            <w:fldChar w:fldCharType="begin"/>
          </w:r>
          <w:r>
            <w:instrText xml:space="preserve"> PAGEREF _Toc3236 \h </w:instrText>
          </w:r>
          <w:r>
            <w:fldChar w:fldCharType="separate"/>
          </w:r>
          <w:r>
            <w:t>23</w:t>
          </w:r>
          <w:r>
            <w:fldChar w:fldCharType="end"/>
          </w:r>
          <w:r>
            <w:rPr>
              <w:rFonts w:hint="eastAsia" w:ascii="黑体" w:hAnsi="黑体" w:eastAsia="黑体" w:cs="黑体"/>
              <w:bCs/>
              <w:szCs w:val="44"/>
              <w:lang w:val="en-US" w:eastAsia="zh-CN"/>
            </w:rPr>
            <w:fldChar w:fldCharType="end"/>
          </w:r>
        </w:p>
        <w:p w14:paraId="5C41F3A0">
          <w:pPr>
            <w:jc w:val="center"/>
            <w:rPr>
              <w:rFonts w:hint="eastAsia" w:ascii="黑体" w:hAnsi="黑体" w:eastAsia="黑体" w:cs="黑体"/>
              <w:bCs/>
              <w:kern w:val="2"/>
              <w:sz w:val="21"/>
              <w:szCs w:val="44"/>
              <w:lang w:val="en-US" w:eastAsia="zh-CN" w:bidi="ar-SA"/>
            </w:rPr>
          </w:pPr>
          <w:r>
            <w:rPr>
              <w:rFonts w:hint="eastAsia" w:ascii="黑体" w:hAnsi="黑体" w:eastAsia="黑体" w:cs="黑体"/>
              <w:bCs/>
              <w:szCs w:val="44"/>
              <w:lang w:val="en-US" w:eastAsia="zh-CN"/>
            </w:rPr>
            <w:fldChar w:fldCharType="end"/>
          </w:r>
        </w:p>
      </w:sdtContent>
    </w:sdt>
    <w:p w14:paraId="73D37533">
      <w:pPr>
        <w:jc w:val="center"/>
        <w:rPr>
          <w:rFonts w:hint="eastAsia" w:ascii="黑体" w:hAnsi="黑体" w:eastAsia="黑体" w:cs="黑体"/>
          <w:bCs/>
          <w:kern w:val="2"/>
          <w:sz w:val="21"/>
          <w:szCs w:val="44"/>
          <w:lang w:val="en-US" w:eastAsia="zh-CN" w:bidi="ar-SA"/>
        </w:rPr>
      </w:pPr>
    </w:p>
    <w:p w14:paraId="71AB9222">
      <w:pPr>
        <w:rPr>
          <w:rFonts w:hint="eastAsia" w:ascii="黑体" w:hAnsi="黑体" w:eastAsia="黑体" w:cs="黑体"/>
          <w:b/>
          <w:bCs/>
          <w:sz w:val="36"/>
          <w:szCs w:val="44"/>
          <w:lang w:val="en-US" w:eastAsia="zh-CN"/>
        </w:rPr>
      </w:pPr>
      <w:r>
        <w:rPr>
          <w:rFonts w:hint="eastAsia" w:ascii="黑体" w:hAnsi="黑体" w:eastAsia="黑体" w:cs="黑体"/>
          <w:b/>
          <w:bCs/>
          <w:sz w:val="36"/>
          <w:szCs w:val="44"/>
          <w:lang w:val="en-US" w:eastAsia="zh-CN"/>
        </w:rPr>
        <w:br w:type="page"/>
      </w:r>
    </w:p>
    <w:p w14:paraId="01A6EB03">
      <w:pPr>
        <w:pStyle w:val="2"/>
        <w:bidi w:val="0"/>
        <w:jc w:val="center"/>
        <w:rPr>
          <w:rFonts w:hint="eastAsia"/>
        </w:rPr>
      </w:pPr>
      <w:bookmarkStart w:id="1" w:name="_Toc5091"/>
      <w:r>
        <w:rPr>
          <w:rFonts w:hint="eastAsia"/>
        </w:rPr>
        <w:t>第1章 一般要求</w:t>
      </w:r>
      <w:bookmarkEnd w:id="1"/>
    </w:p>
    <w:p w14:paraId="70E3E6DF">
      <w:pPr>
        <w:pStyle w:val="3"/>
        <w:bidi w:val="0"/>
        <w:rPr>
          <w:rFonts w:hint="eastAsia"/>
        </w:rPr>
      </w:pPr>
      <w:r>
        <w:rPr>
          <w:rFonts w:hint="eastAsia"/>
        </w:rPr>
        <w:t xml:space="preserve"> </w:t>
      </w:r>
      <w:bookmarkStart w:id="2" w:name="_Toc2986"/>
      <w:r>
        <w:rPr>
          <w:rFonts w:hint="eastAsia"/>
          <w:lang w:val="en-US" w:eastAsia="zh-CN"/>
        </w:rPr>
        <w:t>第1节</w:t>
      </w:r>
      <w:r>
        <w:rPr>
          <w:rFonts w:hint="eastAsia"/>
        </w:rPr>
        <w:t xml:space="preserve"> 一般规定</w:t>
      </w:r>
      <w:bookmarkEnd w:id="2"/>
    </w:p>
    <w:p w14:paraId="6110C29C">
      <w:pPr>
        <w:pStyle w:val="4"/>
        <w:bidi w:val="0"/>
        <w:rPr>
          <w:rFonts w:hint="eastAsia"/>
        </w:rPr>
      </w:pPr>
      <w:r>
        <w:rPr>
          <w:rFonts w:hint="eastAsia"/>
        </w:rPr>
        <w:t xml:space="preserve"> 1.1.1 目的</w:t>
      </w:r>
    </w:p>
    <w:p w14:paraId="40686D80">
      <w:pPr>
        <w:rPr>
          <w:rFonts w:hint="eastAsia"/>
        </w:rPr>
      </w:pPr>
      <w:r>
        <w:rPr>
          <w:rFonts w:hint="eastAsia"/>
        </w:rPr>
        <w:t>1.1.1.1 本指南旨在为船舶自由抛投式救生艇抛投试验提供基于计算流体力学（CFD）的数字化评估方法。通过数值仿真预报救生艇抛投入水过程中的砰击载荷、六自由度运动响应及冲击加速度等关键指标，为救生艇及其释放系统的安全设计、实船抛投试验方案优化以及乘员安全评估提供技术依据。</w:t>
      </w:r>
    </w:p>
    <w:p w14:paraId="42DB18BF">
      <w:pPr>
        <w:pStyle w:val="4"/>
        <w:bidi w:val="0"/>
        <w:rPr>
          <w:rFonts w:hint="eastAsia"/>
        </w:rPr>
      </w:pPr>
      <w:r>
        <w:rPr>
          <w:rFonts w:hint="eastAsia"/>
        </w:rPr>
        <w:t xml:space="preserve"> 1.1.2 适用范围</w:t>
      </w:r>
    </w:p>
    <w:p w14:paraId="2E24F11A">
      <w:pPr>
        <w:rPr>
          <w:rFonts w:hint="eastAsia"/>
        </w:rPr>
      </w:pPr>
      <w:r>
        <w:rPr>
          <w:rFonts w:hint="eastAsia"/>
        </w:rPr>
        <w:t>1.1.2.1 本指南适用于船舶自由抛投式救生艇（含滑落式救生艇）在静水中的抛投入水过程数值仿真评估。</w:t>
      </w:r>
    </w:p>
    <w:p w14:paraId="555E980E">
      <w:pPr>
        <w:rPr>
          <w:rFonts w:hint="eastAsia"/>
        </w:rPr>
      </w:pPr>
      <w:r>
        <w:rPr>
          <w:rFonts w:hint="eastAsia"/>
        </w:rPr>
        <w:t>1.1.2.2 本指南适用于深水、平静、开阔水域，暂不考虑风、浪、流、浅水及岸壁效应等因素的影响。</w:t>
      </w:r>
    </w:p>
    <w:p w14:paraId="24394E00">
      <w:pPr>
        <w:rPr>
          <w:rFonts w:hint="eastAsia"/>
        </w:rPr>
      </w:pPr>
      <w:r>
        <w:rPr>
          <w:rFonts w:hint="eastAsia"/>
        </w:rPr>
        <w:t>1.1.2.3 本指南适用的CFD求解器类型和采用的流场基本假定如下：</w:t>
      </w:r>
    </w:p>
    <w:p w14:paraId="678A115D">
      <w:pPr>
        <w:rPr>
          <w:rFonts w:hint="eastAsia"/>
        </w:rPr>
      </w:pPr>
      <w:r>
        <w:rPr>
          <w:rFonts w:hint="eastAsia"/>
        </w:rPr>
        <w:t>（1）本指南适用于基于网格化（结构化网格、非结构化网格）的CFD求解器，其采用的流体控制方程至少应为雷诺平均方程（RANS）。</w:t>
      </w:r>
    </w:p>
    <w:p w14:paraId="69EF91BE">
      <w:pPr>
        <w:rPr>
          <w:rFonts w:hint="eastAsia"/>
        </w:rPr>
      </w:pPr>
      <w:r>
        <w:rPr>
          <w:rFonts w:hint="eastAsia"/>
        </w:rPr>
        <w:t>（2）本指南适用于不可压缩空气-水两相流流动模拟。</w:t>
      </w:r>
    </w:p>
    <w:p w14:paraId="0D7AA3CC">
      <w:pPr>
        <w:rPr>
          <w:rFonts w:hint="eastAsia"/>
        </w:rPr>
      </w:pPr>
      <w:r>
        <w:rPr>
          <w:rFonts w:hint="eastAsia"/>
        </w:rPr>
        <w:t>（3）本指南适用于湍流状态下的入水砰击流动模拟。</w:t>
      </w:r>
    </w:p>
    <w:p w14:paraId="59C3EB21">
      <w:pPr>
        <w:rPr>
          <w:rFonts w:hint="eastAsia"/>
        </w:rPr>
      </w:pPr>
    </w:p>
    <w:p w14:paraId="36906BB8">
      <w:pPr>
        <w:pStyle w:val="4"/>
        <w:bidi w:val="0"/>
        <w:rPr>
          <w:rFonts w:hint="eastAsia"/>
        </w:rPr>
      </w:pPr>
      <w:r>
        <w:rPr>
          <w:rFonts w:hint="eastAsia"/>
        </w:rPr>
        <w:t xml:space="preserve"> 1.1.3 定义</w:t>
      </w:r>
    </w:p>
    <w:p w14:paraId="41561CCB">
      <w:pPr>
        <w:rPr>
          <w:rFonts w:hint="eastAsia"/>
        </w:rPr>
      </w:pPr>
      <w:r>
        <w:rPr>
          <w:rFonts w:hint="eastAsia"/>
        </w:rPr>
        <w:t>1.1.3.1 除另有规定外，本指南有关定义如下：</w:t>
      </w:r>
    </w:p>
    <w:p w14:paraId="33F3EBBD">
      <w:pPr>
        <w:rPr>
          <w:rFonts w:hint="eastAsia"/>
        </w:rPr>
      </w:pPr>
      <w:r>
        <w:rPr>
          <w:rFonts w:hint="eastAsia"/>
        </w:rPr>
        <w:t>（1）自由抛投式救生艇：系指采用自由抛落方式释放入水的救生艇，包括滑落式救生艇。</w:t>
      </w:r>
    </w:p>
    <w:p w14:paraId="0A10D298">
      <w:pPr>
        <w:rPr>
          <w:rFonts w:hint="eastAsia"/>
        </w:rPr>
      </w:pPr>
      <w:r>
        <w:rPr>
          <w:rFonts w:hint="eastAsia"/>
        </w:rPr>
        <w:t>（2）数字化评估：系指采用计算流体力学（CFD）方法，通过数值仿真手段对救生艇抛投入水过程进行模拟和分析的方法。</w:t>
      </w:r>
    </w:p>
    <w:p w14:paraId="3A614FAE">
      <w:pPr>
        <w:rPr>
          <w:rFonts w:hint="eastAsia"/>
        </w:rPr>
      </w:pPr>
      <w:r>
        <w:rPr>
          <w:rFonts w:hint="eastAsia"/>
        </w:rPr>
        <w:t>（3）砰击载荷：系指救生艇入水瞬间，艇体底部与水体撞击所产生的瞬态水动力载荷。</w:t>
      </w:r>
    </w:p>
    <w:p w14:paraId="0DD44B1A">
      <w:pPr>
        <w:rPr>
          <w:rFonts w:hint="eastAsia"/>
        </w:rPr>
      </w:pPr>
      <w:r>
        <w:rPr>
          <w:rFonts w:hint="eastAsia"/>
        </w:rPr>
        <w:t>（4）冲击加速度：系指救生艇入水过程中，艇体所承受的瞬时加速度响应，通常以重心处加速度峰值表征。</w:t>
      </w:r>
    </w:p>
    <w:p w14:paraId="62318D0D">
      <w:pPr>
        <w:rPr>
          <w:rFonts w:hint="eastAsia"/>
        </w:rPr>
      </w:pPr>
      <w:r>
        <w:rPr>
          <w:rFonts w:hint="eastAsia"/>
        </w:rPr>
        <w:t>（5）重叠网格：系指将计算域划分为背景网格和随体重叠网格两部分，两套网格相互重叠并通过插值交换流场信息，适用于处理大幅运动问题的网格技术。</w:t>
      </w:r>
    </w:p>
    <w:p w14:paraId="384F361E">
      <w:pPr>
        <w:rPr>
          <w:rFonts w:hint="eastAsia"/>
        </w:rPr>
      </w:pPr>
      <w:r>
        <w:rPr>
          <w:rFonts w:hint="eastAsia"/>
        </w:rPr>
        <w:t>（6）空中运动阶段：系指救生艇从释放装置脱离至接触水面之前的自由飞行阶段。</w:t>
      </w:r>
    </w:p>
    <w:p w14:paraId="10CD67C0">
      <w:pPr>
        <w:rPr>
          <w:rFonts w:hint="eastAsia"/>
        </w:rPr>
      </w:pPr>
      <w:r>
        <w:rPr>
          <w:rFonts w:hint="eastAsia"/>
        </w:rPr>
        <w:t>（7）入水砰击阶段：系指救生艇从接触水面至完全入水并趋于稳定的阶段。</w:t>
      </w:r>
    </w:p>
    <w:p w14:paraId="7D6EB3BC">
      <w:pPr>
        <w:rPr>
          <w:rFonts w:hint="eastAsia"/>
        </w:rPr>
      </w:pPr>
      <w:r>
        <w:rPr>
          <w:rFonts w:hint="eastAsia"/>
        </w:rPr>
        <w:t>（8）基准标模：系指具有公开试验数据、可用于验证CFD方法准确性的标准入水模型，如楔形体、球体等。</w:t>
      </w:r>
    </w:p>
    <w:p w14:paraId="0418558F">
      <w:pPr>
        <w:pStyle w:val="4"/>
        <w:bidi w:val="0"/>
        <w:rPr>
          <w:rFonts w:hint="eastAsia"/>
        </w:rPr>
      </w:pPr>
      <w:r>
        <w:rPr>
          <w:rFonts w:hint="eastAsia"/>
        </w:rPr>
        <w:t xml:space="preserve"> 1.1.4 图纸资料</w:t>
      </w:r>
    </w:p>
    <w:p w14:paraId="2F64B087">
      <w:pPr>
        <w:rPr>
          <w:rFonts w:hint="eastAsia"/>
        </w:rPr>
      </w:pPr>
      <w:r>
        <w:rPr>
          <w:rFonts w:hint="eastAsia"/>
        </w:rPr>
        <w:t>1.1.4.1 应将下列图纸资料提交CCS备查：</w:t>
      </w:r>
    </w:p>
    <w:p w14:paraId="2001411A">
      <w:pPr>
        <w:rPr>
          <w:rFonts w:hint="eastAsia"/>
        </w:rPr>
      </w:pPr>
      <w:r>
        <w:rPr>
          <w:rFonts w:hint="eastAsia"/>
        </w:rPr>
        <w:t>（1）救生艇型线图及型值表；</w:t>
      </w:r>
    </w:p>
    <w:p w14:paraId="7E40EC9D">
      <w:pPr>
        <w:rPr>
          <w:rFonts w:hint="eastAsia"/>
        </w:rPr>
      </w:pPr>
      <w:r>
        <w:rPr>
          <w:rFonts w:hint="eastAsia"/>
        </w:rPr>
        <w:t>（2）救生艇总布置图；</w:t>
      </w:r>
    </w:p>
    <w:p w14:paraId="2192FF8B">
      <w:pPr>
        <w:rPr>
          <w:rFonts w:hint="eastAsia"/>
        </w:rPr>
      </w:pPr>
      <w:r>
        <w:rPr>
          <w:rFonts w:hint="eastAsia"/>
        </w:rPr>
        <w:t>（3）救生艇重量重心计算书；</w:t>
      </w:r>
    </w:p>
    <w:p w14:paraId="07E1D4C3">
      <w:pPr>
        <w:rPr>
          <w:rFonts w:hint="eastAsia"/>
        </w:rPr>
      </w:pPr>
      <w:r>
        <w:rPr>
          <w:rFonts w:hint="eastAsia"/>
        </w:rPr>
        <w:t>（4）救生艇静水力计算书；</w:t>
      </w:r>
    </w:p>
    <w:p w14:paraId="48931B94">
      <w:pPr>
        <w:rPr>
          <w:rFonts w:hint="eastAsia"/>
        </w:rPr>
      </w:pPr>
      <w:r>
        <w:rPr>
          <w:rFonts w:hint="eastAsia"/>
        </w:rPr>
        <w:t>（5）救生艇三维几何模型（如IGES、STEP、STL等格式）；</w:t>
      </w:r>
    </w:p>
    <w:p w14:paraId="23B35FD5">
      <w:pPr>
        <w:rPr>
          <w:rFonts w:hint="eastAsia"/>
        </w:rPr>
      </w:pPr>
      <w:r>
        <w:rPr>
          <w:rFonts w:hint="eastAsia"/>
        </w:rPr>
        <w:t>（6）救生艇抛投试验数字化评估报告。</w:t>
      </w:r>
    </w:p>
    <w:p w14:paraId="434BFBCE">
      <w:pPr>
        <w:rPr>
          <w:rFonts w:hint="eastAsia"/>
        </w:rPr>
      </w:pPr>
    </w:p>
    <w:p w14:paraId="13CB11F4">
      <w:pPr>
        <w:rPr>
          <w:rFonts w:hint="eastAsia"/>
        </w:rPr>
      </w:pPr>
      <w:r>
        <w:rPr>
          <w:rFonts w:hint="eastAsia"/>
        </w:rPr>
        <w:br w:type="page"/>
      </w:r>
    </w:p>
    <w:p w14:paraId="79FCF9C2">
      <w:pPr>
        <w:pStyle w:val="2"/>
        <w:bidi w:val="0"/>
        <w:rPr>
          <w:rFonts w:hint="eastAsia"/>
        </w:rPr>
      </w:pPr>
      <w:r>
        <w:rPr>
          <w:rFonts w:hint="eastAsia"/>
        </w:rPr>
        <w:t xml:space="preserve"> </w:t>
      </w:r>
      <w:bookmarkStart w:id="3" w:name="_Toc12694"/>
      <w:r>
        <w:rPr>
          <w:rFonts w:hint="eastAsia"/>
        </w:rPr>
        <w:t>第2章 数值模型</w:t>
      </w:r>
      <w:bookmarkEnd w:id="3"/>
    </w:p>
    <w:p w14:paraId="45E05E0F">
      <w:pPr>
        <w:pStyle w:val="3"/>
        <w:bidi w:val="0"/>
        <w:rPr>
          <w:rFonts w:hint="eastAsia"/>
        </w:rPr>
      </w:pPr>
      <w:r>
        <w:rPr>
          <w:rFonts w:hint="eastAsia"/>
        </w:rPr>
        <w:t xml:space="preserve"> </w:t>
      </w:r>
      <w:bookmarkStart w:id="4" w:name="_Toc21565"/>
      <w:r>
        <w:rPr>
          <w:rFonts w:hint="eastAsia"/>
        </w:rPr>
        <w:t>第1节 一般规定</w:t>
      </w:r>
      <w:bookmarkEnd w:id="4"/>
    </w:p>
    <w:p w14:paraId="2C115F3C">
      <w:pPr>
        <w:pStyle w:val="4"/>
        <w:bidi w:val="0"/>
        <w:rPr>
          <w:rFonts w:hint="eastAsia"/>
        </w:rPr>
      </w:pPr>
      <w:r>
        <w:rPr>
          <w:rFonts w:hint="eastAsia"/>
        </w:rPr>
        <w:t xml:space="preserve"> 2.1.1 一般要求</w:t>
      </w:r>
    </w:p>
    <w:p w14:paraId="0CBF0E8D">
      <w:pPr>
        <w:rPr>
          <w:rFonts w:hint="eastAsia"/>
        </w:rPr>
      </w:pPr>
      <w:r>
        <w:rPr>
          <w:rFonts w:hint="eastAsia"/>
        </w:rPr>
        <w:t>2.1.1.1 数值模型的建立应准确反映救生艇抛投入水的物理过程，包括空中运动阶段和入水砰击阶段。</w:t>
      </w:r>
    </w:p>
    <w:p w14:paraId="3CF7B98A">
      <w:pPr>
        <w:rPr>
          <w:rFonts w:hint="eastAsia"/>
        </w:rPr>
      </w:pPr>
      <w:r>
        <w:rPr>
          <w:rFonts w:hint="eastAsia"/>
        </w:rPr>
        <w:t>2.1.1.2 数值模型应采用不可压缩空气-水两相流模型，采用VOF方法捕捉自由面演化。</w:t>
      </w:r>
    </w:p>
    <w:p w14:paraId="1D06B58A">
      <w:pPr>
        <w:rPr>
          <w:rFonts w:hint="eastAsia"/>
        </w:rPr>
      </w:pPr>
      <w:r>
        <w:rPr>
          <w:rFonts w:hint="eastAsia"/>
        </w:rPr>
        <w:t>2.1.1.3 救生艇在计算中应作为刚体处理，其运动由六自由度动力学方程控制。</w:t>
      </w:r>
    </w:p>
    <w:p w14:paraId="51EA03CA">
      <w:pPr>
        <w:rPr>
          <w:rFonts w:hint="eastAsia"/>
        </w:rPr>
      </w:pPr>
      <w:r>
        <w:rPr>
          <w:rFonts w:hint="eastAsia"/>
        </w:rPr>
        <w:t>2.1.1.4 应采用重叠网格技术处理救生艇入水过程中的大位移和大姿态变化。</w:t>
      </w:r>
    </w:p>
    <w:p w14:paraId="21B92FD1">
      <w:pPr>
        <w:rPr>
          <w:rFonts w:hint="eastAsia"/>
        </w:rPr>
      </w:pPr>
    </w:p>
    <w:p w14:paraId="79BEEC67">
      <w:pPr>
        <w:pStyle w:val="3"/>
        <w:bidi w:val="0"/>
        <w:rPr>
          <w:rFonts w:hint="eastAsia"/>
        </w:rPr>
      </w:pPr>
      <w:r>
        <w:rPr>
          <w:rFonts w:hint="eastAsia"/>
        </w:rPr>
        <w:t xml:space="preserve"> </w:t>
      </w:r>
      <w:bookmarkStart w:id="5" w:name="_Toc14965"/>
      <w:r>
        <w:rPr>
          <w:rFonts w:hint="eastAsia"/>
        </w:rPr>
        <w:t>第2节 几何模型</w:t>
      </w:r>
      <w:bookmarkEnd w:id="5"/>
    </w:p>
    <w:p w14:paraId="7BDB1435">
      <w:pPr>
        <w:pStyle w:val="4"/>
        <w:bidi w:val="0"/>
        <w:rPr>
          <w:rFonts w:hint="eastAsia"/>
        </w:rPr>
      </w:pPr>
      <w:r>
        <w:rPr>
          <w:rFonts w:hint="eastAsia"/>
        </w:rPr>
        <w:t xml:space="preserve"> 2.2.1 建模要求</w:t>
      </w:r>
    </w:p>
    <w:p w14:paraId="199924B7">
      <w:pPr>
        <w:rPr>
          <w:rFonts w:hint="eastAsia"/>
        </w:rPr>
      </w:pPr>
      <w:r>
        <w:rPr>
          <w:rFonts w:hint="eastAsia"/>
        </w:rPr>
        <w:t>2.2.1.1 几何模型应严格按照救生艇型线图及型值表进行三维建模，三维模型应能够精确反映救生艇线型特征。</w:t>
      </w:r>
    </w:p>
    <w:p w14:paraId="3551AC05">
      <w:pPr>
        <w:rPr>
          <w:rFonts w:hint="eastAsia"/>
        </w:rPr>
      </w:pPr>
      <w:r>
        <w:rPr>
          <w:rFonts w:hint="eastAsia"/>
        </w:rPr>
        <w:t>2.2.1.2 救生艇几何模型表面应确保光滑连接，并能够生成全封闭实体。</w:t>
      </w:r>
    </w:p>
    <w:p w14:paraId="315A253C">
      <w:pPr>
        <w:rPr>
          <w:rFonts w:hint="eastAsia"/>
        </w:rPr>
      </w:pPr>
      <w:r>
        <w:rPr>
          <w:rFonts w:hint="eastAsia"/>
        </w:rPr>
        <w:t>2.2.1.3 几何模型应为可接受的通用数据格式，如IGES、STEP、STL等格式。</w:t>
      </w:r>
    </w:p>
    <w:p w14:paraId="7265E4A7">
      <w:pPr>
        <w:rPr>
          <w:rFonts w:hint="default" w:eastAsiaTheme="minorEastAsia"/>
          <w:lang w:val="en-US" w:eastAsia="zh-CN"/>
        </w:rPr>
      </w:pPr>
      <w:r>
        <w:rPr>
          <w:rFonts w:hint="eastAsia"/>
        </w:rPr>
        <w:t>2.2.1.4 几何模型应包含影响入水砰击载荷及流场特性的救生艇附体，如护舷材、底部加强结构等。对入水砰击载荷及整体运动响应影响较小的附体，包括吊环、吊钩</w:t>
      </w:r>
      <w:r>
        <w:rPr>
          <w:rFonts w:hint="eastAsia"/>
          <w:lang w:eastAsia="zh-CN"/>
        </w:rPr>
        <w:t>、</w:t>
      </w:r>
      <w:r>
        <w:rPr>
          <w:rFonts w:hint="eastAsia"/>
        </w:rPr>
        <w:t>系泊部件</w:t>
      </w:r>
      <w:r>
        <w:rPr>
          <w:rFonts w:hint="eastAsia"/>
          <w:lang w:eastAsia="zh-CN"/>
        </w:rPr>
        <w:t>、</w:t>
      </w:r>
      <w:r>
        <w:rPr>
          <w:rFonts w:hint="eastAsia"/>
        </w:rPr>
        <w:t>扶手、栏杆</w:t>
      </w:r>
      <w:r>
        <w:rPr>
          <w:rFonts w:hint="eastAsia"/>
          <w:lang w:eastAsia="zh-CN"/>
        </w:rPr>
        <w:t>、</w:t>
      </w:r>
      <w:r>
        <w:rPr>
          <w:rFonts w:hint="eastAsia"/>
        </w:rPr>
        <w:t>舷梯</w:t>
      </w:r>
      <w:r>
        <w:rPr>
          <w:rFonts w:hint="eastAsia"/>
          <w:lang w:eastAsia="zh-CN"/>
        </w:rPr>
        <w:t>、</w:t>
      </w:r>
      <w:r>
        <w:rPr>
          <w:rFonts w:hint="eastAsia"/>
        </w:rPr>
        <w:t>标识牌、排水孔</w:t>
      </w:r>
      <w:r>
        <w:rPr>
          <w:rFonts w:hint="eastAsia"/>
          <w:lang w:eastAsia="zh-CN"/>
        </w:rPr>
        <w:t>、</w:t>
      </w:r>
      <w:r>
        <w:rPr>
          <w:rFonts w:hint="eastAsia"/>
        </w:rPr>
        <w:t>通风管、排气管</w:t>
      </w:r>
      <w:r>
        <w:rPr>
          <w:rFonts w:hint="eastAsia"/>
          <w:lang w:val="en-US" w:eastAsia="zh-CN"/>
        </w:rPr>
        <w:t>等</w:t>
      </w:r>
      <w:r>
        <w:rPr>
          <w:rFonts w:hint="eastAsia"/>
          <w:lang w:eastAsia="zh-CN"/>
        </w:rPr>
        <w:t>，</w:t>
      </w:r>
      <w:r>
        <w:rPr>
          <w:rFonts w:hint="eastAsia"/>
          <w:lang w:val="en-US" w:eastAsia="zh-CN"/>
        </w:rPr>
        <w:t>几何建模时可忽略。</w:t>
      </w:r>
    </w:p>
    <w:p w14:paraId="374A54F4">
      <w:pPr>
        <w:pStyle w:val="4"/>
        <w:bidi w:val="0"/>
        <w:rPr>
          <w:rFonts w:hint="eastAsia"/>
        </w:rPr>
      </w:pPr>
      <w:r>
        <w:rPr>
          <w:rFonts w:hint="eastAsia"/>
        </w:rPr>
        <w:t xml:space="preserve"> 2.2.2 模型精度校核</w:t>
      </w:r>
    </w:p>
    <w:p w14:paraId="6F251913">
      <w:pPr>
        <w:rPr>
          <w:rFonts w:hint="eastAsia"/>
        </w:rPr>
      </w:pPr>
      <w:r>
        <w:rPr>
          <w:rFonts w:hint="eastAsia"/>
        </w:rPr>
        <w:t>2.2.2.1 应提供三维几何模型与静水力计算书的对比数据，对比要素应至少包含水线长、型宽、型深、计算工况下的排水体积、湿表面积、重心位置和浮心纵向位置等信息。</w:t>
      </w:r>
    </w:p>
    <w:p w14:paraId="5254E168">
      <w:pPr>
        <w:rPr>
          <w:rFonts w:hint="eastAsia"/>
        </w:rPr>
      </w:pPr>
      <w:r>
        <w:rPr>
          <w:rFonts w:hint="eastAsia"/>
        </w:rPr>
        <w:t>2.2.2.2 型排水体积对比的相对误差应不大于0.5%，湿表面积对比的相对误差应不大于3%，重心位置误差应不影响六自由度运动响应的准确性。</w:t>
      </w:r>
    </w:p>
    <w:p w14:paraId="16E861E0">
      <w:pPr>
        <w:pStyle w:val="3"/>
        <w:bidi w:val="0"/>
        <w:rPr>
          <w:rFonts w:hint="eastAsia"/>
        </w:rPr>
      </w:pPr>
      <w:r>
        <w:rPr>
          <w:rFonts w:hint="eastAsia"/>
        </w:rPr>
        <w:t xml:space="preserve"> </w:t>
      </w:r>
      <w:bookmarkStart w:id="6" w:name="_Toc15096"/>
      <w:r>
        <w:rPr>
          <w:rFonts w:hint="eastAsia"/>
        </w:rPr>
        <w:t>第3节 计算域与边界条件</w:t>
      </w:r>
      <w:bookmarkEnd w:id="6"/>
    </w:p>
    <w:p w14:paraId="4413675F">
      <w:pPr>
        <w:pStyle w:val="4"/>
        <w:bidi w:val="0"/>
        <w:rPr>
          <w:rFonts w:hint="eastAsia"/>
        </w:rPr>
      </w:pPr>
      <w:r>
        <w:rPr>
          <w:rFonts w:hint="eastAsia"/>
        </w:rPr>
        <w:t xml:space="preserve"> 2.3.1 计算域</w:t>
      </w:r>
    </w:p>
    <w:p w14:paraId="4C6BF248">
      <w:pPr>
        <w:rPr>
          <w:rFonts w:hint="eastAsia"/>
        </w:rPr>
      </w:pPr>
      <w:r>
        <w:rPr>
          <w:rFonts w:hint="eastAsia"/>
        </w:rPr>
        <w:t>2.3.1.1 计算域尺寸设置应足够大以消除边界对入水砰击过程的影响。计算域应包括空气域和水域两部分，空气域高度应足以覆盖救生艇空中运动阶段的行程。</w:t>
      </w:r>
    </w:p>
    <w:p w14:paraId="61FBE321">
      <w:pPr>
        <w:rPr>
          <w:rFonts w:hint="eastAsia" w:eastAsiaTheme="minorEastAsia"/>
          <w:lang w:eastAsia="zh-CN"/>
        </w:rPr>
      </w:pPr>
      <w:r>
        <w:rPr>
          <w:rFonts w:hint="eastAsia"/>
        </w:rPr>
        <w:t>2.3.1.</w:t>
      </w:r>
      <w:r>
        <w:rPr>
          <w:rFonts w:hint="eastAsia"/>
          <w:lang w:val="en-US" w:eastAsia="zh-CN"/>
        </w:rPr>
        <w:t>2</w:t>
      </w:r>
      <w:r>
        <w:rPr>
          <w:rFonts w:hint="eastAsia"/>
        </w:rPr>
        <w:t xml:space="preserve"> 当空中运动阶段采用独立解析方法或独立空气单相 CFD 方法求解时，入水砰击阶段计算域的空气域高度不必覆盖完整抛投高度，但应覆盖入水前后艇体姿态变化、飞溅和空气卷吸所需空间</w:t>
      </w:r>
      <w:r>
        <w:rPr>
          <w:rFonts w:hint="eastAsia"/>
          <w:lang w:eastAsia="zh-CN"/>
        </w:rPr>
        <w:t>。</w:t>
      </w:r>
    </w:p>
    <w:p w14:paraId="26DCE8F0">
      <w:pPr>
        <w:rPr>
          <w:rFonts w:hint="eastAsia"/>
        </w:rPr>
      </w:pPr>
      <w:r>
        <w:rPr>
          <w:rFonts w:hint="eastAsia"/>
        </w:rPr>
        <w:t>2.3.1.</w:t>
      </w:r>
      <w:r>
        <w:rPr>
          <w:rFonts w:hint="eastAsia"/>
          <w:lang w:val="en-US" w:eastAsia="zh-CN"/>
        </w:rPr>
        <w:t>3</w:t>
      </w:r>
      <w:r>
        <w:rPr>
          <w:rFonts w:hint="eastAsia"/>
        </w:rPr>
        <w:t xml:space="preserve"> 如无特别要求，计算域尺寸应不小于以下范围：</w:t>
      </w:r>
    </w:p>
    <w:p w14:paraId="6E14A7FF">
      <w:pPr>
        <w:rPr>
          <w:rFonts w:hint="eastAsia"/>
        </w:rPr>
      </w:pPr>
      <w:r>
        <w:rPr>
          <w:rFonts w:hint="eastAsia"/>
        </w:rPr>
        <w:t>（1）前方边界距离艇首不小于2.0倍艇长；</w:t>
      </w:r>
    </w:p>
    <w:p w14:paraId="4ACB9060">
      <w:pPr>
        <w:rPr>
          <w:rFonts w:hint="eastAsia"/>
        </w:rPr>
      </w:pPr>
      <w:r>
        <w:rPr>
          <w:rFonts w:hint="eastAsia"/>
        </w:rPr>
        <w:t>（2）后方边界距离艇尾不小于4.0倍艇长；</w:t>
      </w:r>
    </w:p>
    <w:p w14:paraId="13D92CF7">
      <w:pPr>
        <w:rPr>
          <w:rFonts w:hint="eastAsia"/>
        </w:rPr>
      </w:pPr>
      <w:r>
        <w:rPr>
          <w:rFonts w:hint="eastAsia"/>
        </w:rPr>
        <w:t>（3）侧边界距离艇体纵中剖面不小于2.0倍艇长；</w:t>
      </w:r>
    </w:p>
    <w:p w14:paraId="0C2BF6E1">
      <w:pPr>
        <w:rPr>
          <w:rFonts w:hint="eastAsia"/>
        </w:rPr>
      </w:pPr>
      <w:r>
        <w:rPr>
          <w:rFonts w:hint="eastAsia"/>
        </w:rPr>
        <w:t>（4）底部边界距离静水面不小于2.0倍艇长；</w:t>
      </w:r>
    </w:p>
    <w:p w14:paraId="1C373CA6">
      <w:pPr>
        <w:rPr>
          <w:rFonts w:hint="eastAsia"/>
        </w:rPr>
      </w:pPr>
      <w:r>
        <w:rPr>
          <w:rFonts w:hint="eastAsia"/>
        </w:rPr>
        <w:t>（5）顶部边界距离静水面不小于2.0倍艇长。</w:t>
      </w:r>
    </w:p>
    <w:p w14:paraId="27412241">
      <w:pPr>
        <w:pStyle w:val="4"/>
        <w:bidi w:val="0"/>
        <w:rPr>
          <w:rFonts w:hint="eastAsia"/>
        </w:rPr>
      </w:pPr>
      <w:r>
        <w:rPr>
          <w:rFonts w:hint="eastAsia"/>
        </w:rPr>
        <w:t xml:space="preserve"> 2.3.2 边界条件</w:t>
      </w:r>
    </w:p>
    <w:p w14:paraId="1833E7AC">
      <w:pPr>
        <w:rPr>
          <w:rFonts w:hint="eastAsia"/>
        </w:rPr>
      </w:pPr>
      <w:r>
        <w:rPr>
          <w:rFonts w:hint="eastAsia"/>
        </w:rPr>
        <w:t>2.3.2.1 对于计算域的边界条件，应根据求解器类型及评估主题选择合适的边界条件：</w:t>
      </w:r>
    </w:p>
    <w:p w14:paraId="4DAF1C88">
      <w:pPr>
        <w:rPr>
          <w:rFonts w:hint="eastAsia"/>
        </w:rPr>
      </w:pPr>
      <w:r>
        <w:rPr>
          <w:rFonts w:hint="eastAsia"/>
        </w:rPr>
        <w:t>（1）入口边界应设置为速度入口或压力入口边界条件；</w:t>
      </w:r>
    </w:p>
    <w:p w14:paraId="4FC3EFB9">
      <w:pPr>
        <w:rPr>
          <w:rFonts w:hint="eastAsia"/>
        </w:rPr>
      </w:pPr>
      <w:r>
        <w:rPr>
          <w:rFonts w:hint="eastAsia"/>
        </w:rPr>
        <w:t>（2）出口边界应设置为压力出口或出流边界条件；</w:t>
      </w:r>
    </w:p>
    <w:p w14:paraId="0A6F80BA">
      <w:pPr>
        <w:rPr>
          <w:rFonts w:hint="eastAsia"/>
        </w:rPr>
      </w:pPr>
      <w:r>
        <w:rPr>
          <w:rFonts w:hint="eastAsia"/>
        </w:rPr>
        <w:t>（3）空气域顶部宜设置为压力出口边界，允许空气自由进出；</w:t>
      </w:r>
    </w:p>
    <w:p w14:paraId="3E1A36AA">
      <w:pPr>
        <w:rPr>
          <w:rFonts w:hint="eastAsia"/>
        </w:rPr>
      </w:pPr>
      <w:r>
        <w:rPr>
          <w:rFonts w:hint="eastAsia"/>
        </w:rPr>
        <w:t>（4）救生艇表面应设置为无滑移壁面边界条件。</w:t>
      </w:r>
    </w:p>
    <w:p w14:paraId="2BD0EA3F">
      <w:pPr>
        <w:pStyle w:val="3"/>
        <w:bidi w:val="0"/>
        <w:rPr>
          <w:rFonts w:hint="eastAsia"/>
        </w:rPr>
      </w:pPr>
      <w:r>
        <w:rPr>
          <w:rFonts w:hint="eastAsia"/>
        </w:rPr>
        <w:t xml:space="preserve"> </w:t>
      </w:r>
      <w:bookmarkStart w:id="7" w:name="_Toc1751"/>
      <w:r>
        <w:rPr>
          <w:rFonts w:hint="eastAsia"/>
        </w:rPr>
        <w:t>第4节 网格划分</w:t>
      </w:r>
      <w:bookmarkEnd w:id="7"/>
    </w:p>
    <w:p w14:paraId="6628CA42">
      <w:pPr>
        <w:pStyle w:val="4"/>
        <w:bidi w:val="0"/>
        <w:rPr>
          <w:rFonts w:hint="eastAsia"/>
        </w:rPr>
      </w:pPr>
      <w:r>
        <w:rPr>
          <w:rFonts w:hint="eastAsia"/>
        </w:rPr>
        <w:t xml:space="preserve"> 2.4.1 网格划分原则</w:t>
      </w:r>
    </w:p>
    <w:p w14:paraId="26775624">
      <w:pPr>
        <w:rPr>
          <w:rFonts w:hint="eastAsia"/>
        </w:rPr>
      </w:pPr>
      <w:r>
        <w:rPr>
          <w:rFonts w:hint="eastAsia"/>
        </w:rPr>
        <w:t>2.4.1.1 网格为离散化的空间求解单元，网格类型可包括结构化网格、非结构化网格、混合网格。</w:t>
      </w:r>
    </w:p>
    <w:p w14:paraId="101AA018">
      <w:pPr>
        <w:rPr>
          <w:rFonts w:hint="eastAsia"/>
        </w:rPr>
      </w:pPr>
      <w:r>
        <w:rPr>
          <w:rFonts w:hint="eastAsia"/>
        </w:rPr>
        <w:t>2.4.1.2 网格划分应能正确求解流场的所有重要特征，包括壁面边界层、自由面波形、飞溅及砰击压力传播等。</w:t>
      </w:r>
    </w:p>
    <w:p w14:paraId="650E6AB1">
      <w:pPr>
        <w:rPr>
          <w:rFonts w:hint="eastAsia"/>
        </w:rPr>
      </w:pPr>
      <w:r>
        <w:rPr>
          <w:rFonts w:hint="eastAsia"/>
        </w:rPr>
        <w:t>2.4.1.3 对于几何特征变化较大的区域以及流场关键特征区域，应进行网格细化。</w:t>
      </w:r>
    </w:p>
    <w:p w14:paraId="7171122B">
      <w:pPr>
        <w:rPr>
          <w:rFonts w:hint="eastAsia"/>
        </w:rPr>
      </w:pPr>
      <w:r>
        <w:rPr>
          <w:rFonts w:hint="eastAsia"/>
        </w:rPr>
        <w:t>2.4.1.4 对于边界层、自由面以及其他高分辨率区域，宜避免使用四面体网格单元。</w:t>
      </w:r>
    </w:p>
    <w:p w14:paraId="426AA9EC">
      <w:pPr>
        <w:pStyle w:val="4"/>
        <w:bidi w:val="0"/>
        <w:rPr>
          <w:rFonts w:hint="eastAsia"/>
        </w:rPr>
      </w:pPr>
      <w:r>
        <w:rPr>
          <w:rFonts w:hint="eastAsia"/>
        </w:rPr>
        <w:t xml:space="preserve"> 2.4.2 重叠网格</w:t>
      </w:r>
    </w:p>
    <w:p w14:paraId="422BD47A">
      <w:pPr>
        <w:rPr>
          <w:rFonts w:hint="eastAsia"/>
        </w:rPr>
      </w:pPr>
      <w:r>
        <w:rPr>
          <w:rFonts w:hint="eastAsia"/>
        </w:rPr>
        <w:t>2.4.2.1 随体重叠网格用于包络救生艇几何模型，应覆盖艇体运动过程中需要高分辨率计算的近场区域。</w:t>
      </w:r>
    </w:p>
    <w:p w14:paraId="5DDE3785">
      <w:pPr>
        <w:rPr>
          <w:rFonts w:hint="eastAsia"/>
        </w:rPr>
      </w:pPr>
      <w:r>
        <w:rPr>
          <w:rFonts w:hint="eastAsia"/>
        </w:rPr>
        <w:t>2.4.2.2 应保证重叠网格与背景网格之间存在足够宽度的插值区域，以确保流场信息传递的准确性。</w:t>
      </w:r>
    </w:p>
    <w:p w14:paraId="39AF16AD">
      <w:pPr>
        <w:rPr>
          <w:rFonts w:hint="eastAsia"/>
        </w:rPr>
      </w:pPr>
      <w:r>
        <w:rPr>
          <w:rFonts w:hint="eastAsia"/>
        </w:rPr>
        <w:t>2.4.2.3 应对重叠网格插值区域的网格尺寸进行合理匹配，避免因网格尺寸突变导致数值误差。</w:t>
      </w:r>
    </w:p>
    <w:p w14:paraId="4F7CDB25">
      <w:pPr>
        <w:pStyle w:val="4"/>
        <w:bidi w:val="0"/>
        <w:rPr>
          <w:rFonts w:hint="eastAsia"/>
        </w:rPr>
      </w:pPr>
      <w:r>
        <w:rPr>
          <w:rFonts w:hint="eastAsia"/>
        </w:rPr>
        <w:t xml:space="preserve"> 2.4.3 自由面网格</w:t>
      </w:r>
    </w:p>
    <w:p w14:paraId="741DEF02">
      <w:pPr>
        <w:rPr>
          <w:rFonts w:hint="eastAsia"/>
        </w:rPr>
      </w:pPr>
      <w:r>
        <w:rPr>
          <w:rFonts w:hint="eastAsia"/>
        </w:rPr>
        <w:t>2.4.3.1 对于自由面流动模拟，应使用正交性较好的网格进行求解。</w:t>
      </w:r>
    </w:p>
    <w:p w14:paraId="5C714231">
      <w:pPr>
        <w:rPr>
          <w:rFonts w:hint="eastAsia"/>
        </w:rPr>
      </w:pPr>
      <w:r>
        <w:rPr>
          <w:rFonts w:hint="eastAsia"/>
        </w:rPr>
        <w:t>2.4.3.2 对于采用VOF方法进行自由面求解时，应根据艇体兴波波长确定自由面附近网格节点数目。对于二阶空间精度，艇体附近的纵向方向应使用不少于40个网格点来求解兴波最短波长，兴波最短波长</w:t>
      </w:r>
      <m:oMath>
        <m:sSub>
          <m:sSubPr>
            <m:ctrlPr>
              <w:rPr>
                <w:rFonts w:hint="default" w:ascii="Cambria Math" w:hAnsi="Cambria Math"/>
                <w:sz w:val="21"/>
              </w:rPr>
            </m:ctrlPr>
          </m:sSubPr>
          <m:e>
            <m:r>
              <m:rPr/>
              <w:rPr>
                <w:rFonts w:hint="default" w:ascii="Cambria Math" w:hAnsi="Cambria Math"/>
                <w:sz w:val="21"/>
              </w:rPr>
              <m:t>λ</m:t>
            </m:r>
            <m:ctrlPr>
              <w:rPr>
                <w:rFonts w:ascii="Cambria Math" w:hAnsi="Cambria Math"/>
                <w:sz w:val="21"/>
              </w:rPr>
            </m:ctrlPr>
          </m:e>
          <m:sub>
            <m:r>
              <m:rPr/>
              <w:rPr>
                <w:rFonts w:hint="default" w:ascii="Cambria Math" w:hAnsi="Cambria Math"/>
                <w:sz w:val="21"/>
              </w:rPr>
              <m:t>w</m:t>
            </m:r>
            <m:ctrlPr>
              <w:rPr>
                <w:rFonts w:ascii="Cambria Math" w:hAnsi="Cambria Math"/>
                <w:sz w:val="21"/>
              </w:rPr>
            </m:ctrlPr>
          </m:sub>
        </m:sSub>
      </m:oMath>
      <w:r>
        <w:rPr>
          <w:rFonts w:hint="eastAsia"/>
        </w:rPr>
        <w:t>可参照下式计算：</w:t>
      </w:r>
    </w:p>
    <w:p w14:paraId="16EFF61E">
      <w:pPr>
        <w:jc w:val="center"/>
        <w:rPr>
          <w:rFonts w:hint="eastAsia"/>
        </w:rPr>
      </w:pPr>
      <m:oMathPara>
        <m:oMath>
          <m:sSub>
            <m:sSubPr>
              <m:ctrlPr>
                <w:rPr>
                  <w:rFonts w:hint="default" w:ascii="Cambria Math" w:hAnsi="Cambria Math"/>
                  <w:sz w:val="21"/>
                </w:rPr>
              </m:ctrlPr>
            </m:sSubPr>
            <m:e>
              <m:r>
                <m:rPr/>
                <w:rPr>
                  <w:rFonts w:hint="default" w:ascii="Cambria Math" w:hAnsi="Cambria Math"/>
                  <w:sz w:val="21"/>
                </w:rPr>
                <m:t>λ</m:t>
              </m:r>
              <m:ctrlPr>
                <w:rPr>
                  <w:rFonts w:ascii="Cambria Math" w:hAnsi="Cambria Math"/>
                  <w:sz w:val="21"/>
                </w:rPr>
              </m:ctrlPr>
            </m:e>
            <m:sub>
              <m:r>
                <m:rPr/>
                <w:rPr>
                  <w:rFonts w:hint="default" w:ascii="Cambria Math" w:hAnsi="Cambria Math"/>
                  <w:sz w:val="21"/>
                </w:rPr>
                <m:t>w</m:t>
              </m:r>
              <m:ctrlPr>
                <w:rPr>
                  <w:rFonts w:ascii="Cambria Math" w:hAnsi="Cambria Math"/>
                  <w:sz w:val="21"/>
                </w:rPr>
              </m:ctrlPr>
            </m:sub>
          </m:sSub>
          <m:r>
            <m:rPr/>
            <w:rPr>
              <w:rFonts w:hint="default" w:ascii="Cambria Math" w:hAnsi="Cambria Math"/>
              <w:sz w:val="21"/>
            </w:rPr>
            <m:t>=2πF</m:t>
          </m:r>
          <m:sSup>
            <m:sSupPr>
              <m:ctrlPr>
                <w:rPr>
                  <w:rFonts w:hint="default" w:ascii="Cambria Math" w:hAnsi="Cambria Math"/>
                  <w:sz w:val="21"/>
                </w:rPr>
              </m:ctrlPr>
            </m:sSupPr>
            <m:e>
              <m:r>
                <m:rPr/>
                <w:rPr>
                  <w:rFonts w:hint="default" w:ascii="Cambria Math" w:hAnsi="Cambria Math"/>
                  <w:sz w:val="21"/>
                </w:rPr>
                <m:t>r</m:t>
              </m:r>
              <m:ctrlPr>
                <w:rPr>
                  <w:rFonts w:ascii="Cambria Math" w:hAnsi="Cambria Math"/>
                  <w:sz w:val="21"/>
                </w:rPr>
              </m:ctrlPr>
            </m:e>
            <m:sup>
              <m:r>
                <m:rPr/>
                <w:rPr>
                  <w:rFonts w:hint="default" w:ascii="Cambria Math" w:hAnsi="Cambria Math"/>
                  <w:sz w:val="21"/>
                </w:rPr>
                <m:t>2</m:t>
              </m:r>
              <m:ctrlPr>
                <w:rPr>
                  <w:rFonts w:ascii="Cambria Math" w:hAnsi="Cambria Math"/>
                  <w:sz w:val="21"/>
                </w:rPr>
              </m:ctrlPr>
            </m:sup>
          </m:sSup>
          <m:r>
            <m:rPr/>
            <w:rPr>
              <w:rFonts w:hint="default" w:ascii="Cambria Math" w:hAnsi="Cambria Math"/>
              <w:sz w:val="21"/>
            </w:rPr>
            <m:t>L</m:t>
          </m:r>
        </m:oMath>
      </m:oMathPara>
    </w:p>
    <w:p w14:paraId="43B3A3C2">
      <w:pPr>
        <w:rPr>
          <w:rFonts w:hint="eastAsia"/>
        </w:rPr>
      </w:pPr>
      <w:r>
        <w:rPr>
          <w:rFonts w:hint="eastAsia"/>
        </w:rPr>
        <w:t>式中：</w:t>
      </w:r>
      <m:oMath>
        <m:sSub>
          <m:sSubPr>
            <m:ctrlPr>
              <w:rPr>
                <w:rFonts w:hint="default" w:ascii="Cambria Math" w:hAnsi="Cambria Math"/>
                <w:sz w:val="21"/>
              </w:rPr>
            </m:ctrlPr>
          </m:sSubPr>
          <m:e>
            <m:r>
              <m:rPr/>
              <w:rPr>
                <w:rFonts w:hint="default" w:ascii="Cambria Math" w:hAnsi="Cambria Math"/>
                <w:sz w:val="21"/>
              </w:rPr>
              <m:t>λ</m:t>
            </m:r>
            <m:ctrlPr>
              <w:rPr>
                <w:rFonts w:ascii="Cambria Math" w:hAnsi="Cambria Math"/>
                <w:sz w:val="21"/>
              </w:rPr>
            </m:ctrlPr>
          </m:e>
          <m:sub>
            <m:r>
              <m:rPr/>
              <w:rPr>
                <w:rFonts w:hint="default" w:ascii="Cambria Math" w:hAnsi="Cambria Math"/>
                <w:sz w:val="21"/>
              </w:rPr>
              <m:t>w</m:t>
            </m:r>
            <m:ctrlPr>
              <w:rPr>
                <w:rFonts w:ascii="Cambria Math" w:hAnsi="Cambria Math"/>
                <w:sz w:val="21"/>
              </w:rPr>
            </m:ctrlPr>
          </m:sub>
        </m:sSub>
      </m:oMath>
      <w:r>
        <w:rPr>
          <w:rFonts w:hint="eastAsia"/>
        </w:rPr>
        <w:t>——兴波波长，m；</w:t>
      </w:r>
    </w:p>
    <w:p w14:paraId="6F5BC7EE">
      <w:pPr>
        <w:ind w:firstLine="630" w:firstLineChars="300"/>
        <w:rPr>
          <w:rFonts w:hint="eastAsia"/>
        </w:rPr>
      </w:pPr>
      <w:r>
        <w:rPr>
          <w:rFonts w:hint="eastAsia"/>
          <w:i/>
          <w:iCs/>
        </w:rPr>
        <w:t>Fr</w:t>
      </w:r>
      <w:r>
        <w:rPr>
          <w:rFonts w:hint="eastAsia"/>
          <w:i/>
          <w:iCs/>
          <w:lang w:val="en-US" w:eastAsia="zh-CN"/>
        </w:rPr>
        <w:t xml:space="preserve"> </w:t>
      </w:r>
      <w:r>
        <w:rPr>
          <w:rFonts w:hint="eastAsia"/>
        </w:rPr>
        <w:t>——傅汝德数；</w:t>
      </w:r>
    </w:p>
    <w:p w14:paraId="7D436F2E">
      <w:pPr>
        <w:ind w:firstLine="630" w:firstLineChars="300"/>
        <w:rPr>
          <w:rFonts w:hint="eastAsia"/>
        </w:rPr>
      </w:pPr>
      <w:r>
        <w:rPr>
          <w:rFonts w:hint="eastAsia"/>
          <w:i/>
          <w:iCs/>
        </w:rPr>
        <w:t>L</w:t>
      </w:r>
      <w:r>
        <w:rPr>
          <w:rFonts w:hint="eastAsia"/>
          <w:i/>
          <w:iCs/>
          <w:lang w:val="en-US" w:eastAsia="zh-CN"/>
        </w:rPr>
        <w:t xml:space="preserve"> </w:t>
      </w:r>
      <w:r>
        <w:rPr>
          <w:rFonts w:hint="eastAsia"/>
        </w:rPr>
        <w:t>——救生艇水线长，m。</w:t>
      </w:r>
    </w:p>
    <w:p w14:paraId="506AFA13">
      <w:pPr>
        <w:pStyle w:val="4"/>
        <w:bidi w:val="0"/>
        <w:rPr>
          <w:rFonts w:hint="eastAsia"/>
        </w:rPr>
      </w:pPr>
      <w:r>
        <w:rPr>
          <w:rFonts w:hint="eastAsia"/>
        </w:rPr>
        <w:t xml:space="preserve"> 2.4.4 边界层网格</w:t>
      </w:r>
    </w:p>
    <w:p w14:paraId="280E9289">
      <w:pPr>
        <w:rPr>
          <w:rFonts w:hint="eastAsia"/>
        </w:rPr>
      </w:pPr>
      <w:r>
        <w:rPr>
          <w:rFonts w:hint="eastAsia"/>
        </w:rPr>
        <w:t>2.4.4.1 对于边界层的模拟，边界层网格第一层网格节点与壁面间距应根据无量纲特征数</w:t>
      </w:r>
      <m:oMath>
        <m:sSup>
          <m:sSupPr>
            <m:ctrlPr>
              <w:rPr>
                <w:rFonts w:hint="default" w:ascii="Cambria Math" w:hAnsi="Cambria Math"/>
                <w:sz w:val="21"/>
              </w:rPr>
            </m:ctrlPr>
          </m:sSupPr>
          <m:e>
            <m:r>
              <m:rPr/>
              <w:rPr>
                <w:rFonts w:hint="default" w:ascii="Cambria Math" w:hAnsi="Cambria Math"/>
                <w:sz w:val="21"/>
              </w:rPr>
              <m:t>y</m:t>
            </m:r>
            <m:ctrlPr>
              <w:rPr>
                <w:rFonts w:ascii="Cambria Math" w:hAnsi="Cambria Math"/>
                <w:sz w:val="21"/>
              </w:rPr>
            </m:ctrlPr>
          </m:e>
          <m:sup>
            <m:r>
              <m:rPr/>
              <w:rPr>
                <w:rFonts w:hint="default" w:ascii="Cambria Math" w:hAnsi="Cambria Math"/>
                <w:sz w:val="21"/>
              </w:rPr>
              <m:t>+</m:t>
            </m:r>
            <m:ctrlPr>
              <w:rPr>
                <w:rFonts w:ascii="Cambria Math" w:hAnsi="Cambria Math"/>
                <w:sz w:val="21"/>
              </w:rPr>
            </m:ctrlPr>
          </m:sup>
        </m:sSup>
      </m:oMath>
      <w:r>
        <w:rPr>
          <w:rFonts w:hint="eastAsia"/>
        </w:rPr>
        <w:t>确定：</w:t>
      </w:r>
    </w:p>
    <w:p w14:paraId="6D640CBE">
      <w:pPr>
        <w:jc w:val="center"/>
        <w:rPr>
          <w:rFonts w:hint="eastAsia"/>
        </w:rPr>
      </w:pPr>
      <m:oMathPara>
        <m:oMath>
          <m:sSup>
            <m:sSupPr>
              <m:ctrlPr>
                <w:rPr>
                  <w:rFonts w:hint="default" w:ascii="Cambria Math" w:hAnsi="Cambria Math"/>
                  <w:sz w:val="21"/>
                </w:rPr>
              </m:ctrlPr>
            </m:sSupPr>
            <m:e>
              <m:r>
                <m:rPr/>
                <w:rPr>
                  <w:rFonts w:hint="default" w:ascii="Cambria Math" w:hAnsi="Cambria Math"/>
                  <w:sz w:val="21"/>
                </w:rPr>
                <m:t>y</m:t>
              </m:r>
              <m:ctrlPr>
                <w:rPr>
                  <w:rFonts w:ascii="Cambria Math" w:hAnsi="Cambria Math"/>
                  <w:sz w:val="21"/>
                </w:rPr>
              </m:ctrlPr>
            </m:e>
            <m:sup>
              <m:r>
                <m:rPr/>
                <w:rPr>
                  <w:rFonts w:hint="default" w:ascii="Cambria Math" w:hAnsi="Cambria Math"/>
                  <w:sz w:val="21"/>
                </w:rPr>
                <m:t>+</m:t>
              </m:r>
              <m:ctrlPr>
                <w:rPr>
                  <w:rFonts w:ascii="Cambria Math" w:hAnsi="Cambria Math"/>
                  <w:sz w:val="21"/>
                </w:rPr>
              </m:ctrlPr>
            </m:sup>
          </m:sSup>
          <m:r>
            <m:rPr/>
            <w:rPr>
              <w:rFonts w:hint="default" w:ascii="Cambria Math" w:hAnsi="Cambria Math"/>
              <w:sz w:val="21"/>
            </w:rPr>
            <m:t>=</m:t>
          </m:r>
          <m:f>
            <m:fPr>
              <m:ctrlPr>
                <w:rPr>
                  <w:rFonts w:hint="default" w:ascii="Cambria Math" w:hAnsi="Cambria Math"/>
                  <w:sz w:val="21"/>
                </w:rPr>
              </m:ctrlPr>
            </m:fPr>
            <m:num>
              <m:r>
                <m:rPr/>
                <w:rPr>
                  <w:rFonts w:hint="default" w:ascii="Cambria Math" w:hAnsi="Cambria Math"/>
                  <w:sz w:val="21"/>
                </w:rPr>
                <m:t>ρ</m:t>
              </m:r>
              <m:sSup>
                <m:sSupPr>
                  <m:ctrlPr>
                    <w:rPr>
                      <w:rFonts w:hint="default" w:ascii="Cambria Math" w:hAnsi="Cambria Math"/>
                      <w:sz w:val="21"/>
                    </w:rPr>
                  </m:ctrlPr>
                </m:sSupPr>
                <m:e>
                  <m:r>
                    <m:rPr/>
                    <w:rPr>
                      <w:rFonts w:hint="default" w:ascii="Cambria Math" w:hAnsi="Cambria Math"/>
                      <w:sz w:val="21"/>
                    </w:rPr>
                    <m:t>u</m:t>
                  </m:r>
                  <m:ctrlPr>
                    <w:rPr>
                      <w:rFonts w:ascii="Cambria Math" w:hAnsi="Cambria Math"/>
                      <w:sz w:val="21"/>
                    </w:rPr>
                  </m:ctrlPr>
                </m:e>
                <m:sup>
                  <m:r>
                    <m:rPr/>
                    <w:rPr>
                      <w:rFonts w:hint="default" w:ascii="Cambria Math" w:hAnsi="Cambria Math"/>
                      <w:sz w:val="21"/>
                    </w:rPr>
                    <m:t>∗</m:t>
                  </m:r>
                  <m:ctrlPr>
                    <w:rPr>
                      <w:rFonts w:ascii="Cambria Math" w:hAnsi="Cambria Math"/>
                      <w:sz w:val="21"/>
                    </w:rPr>
                  </m:ctrlPr>
                </m:sup>
              </m:sSup>
              <m:r>
                <m:rPr/>
                <w:rPr>
                  <w:rFonts w:hint="default" w:ascii="Cambria Math" w:hAnsi="Cambria Math"/>
                  <w:sz w:val="21"/>
                </w:rPr>
                <m:t>y</m:t>
              </m:r>
              <m:ctrlPr>
                <w:rPr>
                  <w:rFonts w:hint="default" w:ascii="Cambria Math" w:hAnsi="Cambria Math"/>
                  <w:sz w:val="21"/>
                </w:rPr>
              </m:ctrlPr>
            </m:num>
            <m:den>
              <m:r>
                <m:rPr/>
                <w:rPr>
                  <w:rFonts w:hint="default" w:ascii="Cambria Math" w:hAnsi="Cambria Math"/>
                  <w:sz w:val="21"/>
                </w:rPr>
                <m:t>μ</m:t>
              </m:r>
              <m:ctrlPr>
                <w:rPr>
                  <w:rFonts w:hint="default" w:ascii="Cambria Math" w:hAnsi="Cambria Math"/>
                  <w:sz w:val="21"/>
                </w:rPr>
              </m:ctrlPr>
            </m:den>
          </m:f>
        </m:oMath>
      </m:oMathPara>
    </w:p>
    <w:p w14:paraId="6ECDD36E">
      <w:pPr>
        <w:rPr>
          <w:rFonts w:hint="eastAsia" w:eastAsiaTheme="minorEastAsia"/>
          <w:lang w:eastAsia="zh-CN"/>
        </w:rPr>
      </w:pPr>
      <w:r>
        <w:rPr>
          <w:rFonts w:hint="eastAsia"/>
        </w:rPr>
        <w:t>式中：</w:t>
      </w:r>
      <m:oMath>
        <m:sSup>
          <m:sSupPr>
            <m:ctrlPr>
              <w:rPr>
                <w:rFonts w:hint="default" w:ascii="Cambria Math" w:hAnsi="Cambria Math"/>
                <w:sz w:val="21"/>
              </w:rPr>
            </m:ctrlPr>
          </m:sSupPr>
          <m:e>
            <m:r>
              <m:rPr/>
              <w:rPr>
                <w:rFonts w:hint="default" w:ascii="Cambria Math" w:hAnsi="Cambria Math"/>
                <w:sz w:val="21"/>
              </w:rPr>
              <m:t>u</m:t>
            </m:r>
            <m:ctrlPr>
              <w:rPr>
                <w:rFonts w:ascii="Cambria Math" w:hAnsi="Cambria Math"/>
                <w:sz w:val="21"/>
              </w:rPr>
            </m:ctrlPr>
          </m:e>
          <m:sup>
            <m:r>
              <m:rPr/>
              <w:rPr>
                <w:rFonts w:hint="default" w:ascii="Cambria Math" w:hAnsi="Cambria Math"/>
                <w:sz w:val="21"/>
              </w:rPr>
              <m:t>∗</m:t>
            </m:r>
            <m:ctrlPr>
              <w:rPr>
                <w:rFonts w:ascii="Cambria Math" w:hAnsi="Cambria Math"/>
                <w:sz w:val="21"/>
              </w:rPr>
            </m:ctrlPr>
          </m:sup>
        </m:sSup>
      </m:oMath>
      <w:r>
        <w:rPr>
          <w:rFonts w:hint="eastAsia"/>
        </w:rPr>
        <w:t>——摩擦速度，</w:t>
      </w:r>
      <m:oMath>
        <m:sSup>
          <m:sSupPr>
            <m:ctrlPr>
              <w:rPr>
                <w:rFonts w:hint="default" w:ascii="Cambria Math" w:hAnsi="Cambria Math"/>
                <w:sz w:val="21"/>
              </w:rPr>
            </m:ctrlPr>
          </m:sSupPr>
          <m:e>
            <m:r>
              <m:rPr/>
              <w:rPr>
                <w:rFonts w:hint="default" w:ascii="Cambria Math" w:hAnsi="Cambria Math"/>
                <w:sz w:val="21"/>
              </w:rPr>
              <m:t>u</m:t>
            </m:r>
            <m:ctrlPr>
              <w:rPr>
                <w:rFonts w:ascii="Cambria Math" w:hAnsi="Cambria Math"/>
                <w:sz w:val="21"/>
              </w:rPr>
            </m:ctrlPr>
          </m:e>
          <m:sup>
            <m:r>
              <m:rPr/>
              <w:rPr>
                <w:rFonts w:hint="default" w:ascii="Cambria Math" w:hAnsi="Cambria Math"/>
                <w:sz w:val="21"/>
              </w:rPr>
              <m:t>∗</m:t>
            </m:r>
            <m:ctrlPr>
              <w:rPr>
                <w:rFonts w:ascii="Cambria Math" w:hAnsi="Cambria Math"/>
                <w:sz w:val="21"/>
              </w:rPr>
            </m:ctrlPr>
          </m:sup>
        </m:sSup>
        <m:r>
          <m:rPr/>
          <w:rPr>
            <w:rFonts w:hint="default" w:ascii="Cambria Math" w:hAnsi="Cambria Math"/>
            <w:sz w:val="21"/>
          </w:rPr>
          <m:t>=</m:t>
        </m:r>
        <m:rad>
          <m:radPr>
            <m:degHide m:val="1"/>
            <m:ctrlPr>
              <w:rPr>
                <w:rFonts w:hint="default" w:ascii="Cambria Math" w:hAnsi="Cambria Math"/>
                <w:sz w:val="21"/>
              </w:rPr>
            </m:ctrlPr>
          </m:radPr>
          <m:deg>
            <m:ctrlPr>
              <w:rPr>
                <w:rFonts w:ascii="Cambria Math" w:hAnsi="Cambria Math"/>
                <w:sz w:val="21"/>
              </w:rPr>
            </m:ctrlPr>
          </m:deg>
          <m:e>
            <m:f>
              <m:fPr>
                <m:ctrlPr>
                  <w:rPr>
                    <w:rFonts w:hint="default" w:ascii="Cambria Math" w:hAnsi="Cambria Math"/>
                    <w:sz w:val="21"/>
                  </w:rPr>
                </m:ctrlPr>
              </m:fPr>
              <m:num>
                <m:sSub>
                  <m:sSubPr>
                    <m:ctrlPr>
                      <w:rPr>
                        <w:rFonts w:hint="default" w:ascii="Cambria Math" w:hAnsi="Cambria Math"/>
                        <w:sz w:val="21"/>
                      </w:rPr>
                    </m:ctrlPr>
                  </m:sSubPr>
                  <m:e>
                    <m:r>
                      <m:rPr/>
                      <w:rPr>
                        <w:rFonts w:hint="default" w:ascii="Cambria Math" w:hAnsi="Cambria Math"/>
                        <w:sz w:val="21"/>
                      </w:rPr>
                      <m:t>τ</m:t>
                    </m:r>
                    <m:ctrlPr>
                      <w:rPr>
                        <w:rFonts w:ascii="Cambria Math" w:hAnsi="Cambria Math"/>
                        <w:sz w:val="21"/>
                      </w:rPr>
                    </m:ctrlPr>
                  </m:e>
                  <m:sub>
                    <m:r>
                      <m:rPr/>
                      <w:rPr>
                        <w:rFonts w:hint="default" w:ascii="Cambria Math" w:hAnsi="Cambria Math"/>
                        <w:sz w:val="21"/>
                      </w:rPr>
                      <m:t>w</m:t>
                    </m:r>
                    <m:ctrlPr>
                      <w:rPr>
                        <w:rFonts w:ascii="Cambria Math" w:hAnsi="Cambria Math"/>
                        <w:sz w:val="21"/>
                      </w:rPr>
                    </m:ctrlPr>
                  </m:sub>
                </m:sSub>
                <m:ctrlPr>
                  <w:rPr>
                    <w:rFonts w:hint="default" w:ascii="Cambria Math" w:hAnsi="Cambria Math"/>
                    <w:sz w:val="21"/>
                  </w:rPr>
                </m:ctrlPr>
              </m:num>
              <m:den>
                <m:r>
                  <m:rPr/>
                  <w:rPr>
                    <w:rFonts w:hint="default" w:ascii="Cambria Math" w:hAnsi="Cambria Math"/>
                    <w:sz w:val="21"/>
                  </w:rPr>
                  <m:t>ρ</m:t>
                </m:r>
                <m:ctrlPr>
                  <w:rPr>
                    <w:rFonts w:hint="default" w:ascii="Cambria Math" w:hAnsi="Cambria Math"/>
                    <w:sz w:val="21"/>
                  </w:rPr>
                </m:ctrlPr>
              </m:den>
            </m:f>
            <m:ctrlPr>
              <w:rPr>
                <w:rFonts w:hint="default" w:ascii="Cambria Math" w:hAnsi="Cambria Math"/>
                <w:sz w:val="21"/>
              </w:rPr>
            </m:ctrlPr>
          </m:e>
        </m:rad>
      </m:oMath>
      <w:r>
        <w:rPr>
          <w:rFonts w:hint="eastAsia"/>
        </w:rPr>
        <w:t>，</w:t>
      </w:r>
      <m:oMath>
        <m:sSub>
          <m:sSubPr>
            <m:ctrlPr>
              <w:rPr>
                <w:rFonts w:hint="default" w:ascii="Cambria Math" w:hAnsi="Cambria Math"/>
                <w:sz w:val="21"/>
              </w:rPr>
            </m:ctrlPr>
          </m:sSubPr>
          <m:e>
            <m:r>
              <m:rPr/>
              <w:rPr>
                <w:rFonts w:hint="default" w:ascii="Cambria Math" w:hAnsi="Cambria Math"/>
                <w:sz w:val="21"/>
              </w:rPr>
              <m:t>τ</m:t>
            </m:r>
            <m:ctrlPr>
              <w:rPr>
                <w:rFonts w:ascii="Cambria Math" w:hAnsi="Cambria Math"/>
                <w:sz w:val="21"/>
              </w:rPr>
            </m:ctrlPr>
          </m:e>
          <m:sub>
            <m:r>
              <m:rPr/>
              <w:rPr>
                <w:rFonts w:hint="default" w:ascii="Cambria Math" w:hAnsi="Cambria Math"/>
                <w:sz w:val="21"/>
              </w:rPr>
              <m:t>w</m:t>
            </m:r>
            <m:ctrlPr>
              <w:rPr>
                <w:rFonts w:ascii="Cambria Math" w:hAnsi="Cambria Math"/>
                <w:sz w:val="21"/>
              </w:rPr>
            </m:ctrlPr>
          </m:sub>
        </m:sSub>
      </m:oMath>
      <w:r>
        <w:rPr>
          <w:rFonts w:hint="eastAsia"/>
        </w:rPr>
        <w:t>为壁面剪切应力</w:t>
      </w:r>
      <w:r>
        <w:rPr>
          <w:rFonts w:hint="eastAsia"/>
          <w:lang w:eastAsia="zh-CN"/>
        </w:rPr>
        <w:t>；</w:t>
      </w:r>
    </w:p>
    <w:p w14:paraId="1D4A7AFD">
      <w:pPr>
        <w:ind w:firstLine="630" w:firstLineChars="300"/>
        <w:rPr>
          <w:rFonts w:hint="eastAsia"/>
        </w:rPr>
      </w:pPr>
      <m:oMath>
        <m:r>
          <m:rPr/>
          <w:rPr>
            <w:rFonts w:hint="default" w:ascii="Cambria Math" w:hAnsi="Cambria Math"/>
            <w:sz w:val="21"/>
          </w:rPr>
          <m:t>μ</m:t>
        </m:r>
      </m:oMath>
      <w:r>
        <w:rPr>
          <w:rFonts w:hint="eastAsia" w:hAnsi="Cambria Math"/>
          <w:i w:val="0"/>
          <w:sz w:val="21"/>
          <w:lang w:val="en-US" w:eastAsia="zh-CN"/>
        </w:rPr>
        <w:t xml:space="preserve"> </w:t>
      </w:r>
      <w:r>
        <w:rPr>
          <w:rFonts w:hint="eastAsia"/>
        </w:rPr>
        <w:t>——水的动力粘性系数，N·s/m²；</w:t>
      </w:r>
    </w:p>
    <w:p w14:paraId="01A0F02A">
      <w:pPr>
        <w:ind w:firstLine="630" w:firstLineChars="300"/>
        <w:rPr>
          <w:rFonts w:hint="eastAsia"/>
        </w:rPr>
      </w:pPr>
      <m:oMath>
        <m:r>
          <m:rPr/>
          <w:rPr>
            <w:rFonts w:hint="default" w:ascii="Cambria Math" w:hAnsi="Cambria Math"/>
            <w:sz w:val="21"/>
          </w:rPr>
          <m:t>ρ</m:t>
        </m:r>
      </m:oMath>
      <w:r>
        <w:rPr>
          <w:rFonts w:hint="eastAsia"/>
        </w:rPr>
        <w:t>——水密度，kg/m³；</w:t>
      </w:r>
    </w:p>
    <w:p w14:paraId="01BDD55E">
      <w:pPr>
        <w:ind w:firstLine="630" w:firstLineChars="300"/>
        <w:rPr>
          <w:rFonts w:hint="eastAsia"/>
        </w:rPr>
      </w:pPr>
      <m:oMath>
        <m:r>
          <m:rPr/>
          <w:rPr>
            <w:rFonts w:hint="default" w:ascii="Cambria Math" w:hAnsi="Cambria Math"/>
            <w:sz w:val="21"/>
          </w:rPr>
          <m:t>y</m:t>
        </m:r>
      </m:oMath>
      <w:r>
        <w:rPr>
          <w:rFonts w:hint="eastAsia"/>
        </w:rPr>
        <w:t>——第一层网格节点与壁面间距，m。</w:t>
      </w:r>
    </w:p>
    <w:p w14:paraId="1EFDAC59">
      <w:pPr>
        <w:rPr>
          <w:rFonts w:hint="eastAsia"/>
        </w:rPr>
      </w:pPr>
      <w:r>
        <w:rPr>
          <w:rFonts w:hint="eastAsia"/>
        </w:rPr>
        <w:t>2.4.4.2 对于采用近壁模型求解，第一层网格节点对应的</w:t>
      </w:r>
      <m:oMath>
        <m:sSup>
          <m:sSupPr>
            <m:ctrlPr>
              <w:rPr>
                <w:rFonts w:hint="default" w:ascii="Cambria Math" w:hAnsi="Cambria Math"/>
                <w:sz w:val="21"/>
              </w:rPr>
            </m:ctrlPr>
          </m:sSupPr>
          <m:e>
            <m:r>
              <m:rPr/>
              <w:rPr>
                <w:rFonts w:hint="default" w:ascii="Cambria Math" w:hAnsi="Cambria Math"/>
                <w:sz w:val="21"/>
              </w:rPr>
              <m:t>y</m:t>
            </m:r>
            <m:ctrlPr>
              <w:rPr>
                <w:rFonts w:ascii="Cambria Math" w:hAnsi="Cambria Math"/>
                <w:sz w:val="21"/>
              </w:rPr>
            </m:ctrlPr>
          </m:e>
          <m:sup>
            <m:r>
              <m:rPr/>
              <w:rPr>
                <w:rFonts w:hint="default" w:ascii="Cambria Math" w:hAnsi="Cambria Math"/>
                <w:sz w:val="21"/>
              </w:rPr>
              <m:t>+</m:t>
            </m:r>
            <m:ctrlPr>
              <w:rPr>
                <w:rFonts w:ascii="Cambria Math" w:hAnsi="Cambria Math"/>
                <w:sz w:val="21"/>
              </w:rPr>
            </m:ctrlPr>
          </m:sup>
        </m:sSup>
      </m:oMath>
      <w:r>
        <w:rPr>
          <w:rFonts w:hint="eastAsia"/>
        </w:rPr>
        <w:t>推荐为不大于1.0；对于采用壁面函数求解，第一层网格节点应布置在对数区域，对应的</w:t>
      </w:r>
      <m:oMath>
        <m:sSup>
          <m:sSupPr>
            <m:ctrlPr>
              <w:rPr>
                <w:rFonts w:hint="default" w:ascii="Cambria Math" w:hAnsi="Cambria Math"/>
                <w:sz w:val="21"/>
              </w:rPr>
            </m:ctrlPr>
          </m:sSupPr>
          <m:e>
            <m:r>
              <m:rPr/>
              <w:rPr>
                <w:rFonts w:hint="default" w:ascii="Cambria Math" w:hAnsi="Cambria Math"/>
                <w:sz w:val="21"/>
              </w:rPr>
              <m:t>y</m:t>
            </m:r>
            <m:ctrlPr>
              <w:rPr>
                <w:rFonts w:ascii="Cambria Math" w:hAnsi="Cambria Math"/>
                <w:sz w:val="21"/>
              </w:rPr>
            </m:ctrlPr>
          </m:e>
          <m:sup>
            <m:r>
              <m:rPr/>
              <w:rPr>
                <w:rFonts w:hint="default" w:ascii="Cambria Math" w:hAnsi="Cambria Math"/>
                <w:sz w:val="21"/>
              </w:rPr>
              <m:t>+</m:t>
            </m:r>
            <m:ctrlPr>
              <w:rPr>
                <w:rFonts w:ascii="Cambria Math" w:hAnsi="Cambria Math"/>
                <w:sz w:val="21"/>
              </w:rPr>
            </m:ctrlPr>
          </m:sup>
        </m:sSup>
      </m:oMath>
      <w:r>
        <w:rPr>
          <w:rFonts w:hint="eastAsia"/>
        </w:rPr>
        <w:t xml:space="preserve">推荐为30 &lt; </w:t>
      </w:r>
      <m:oMath>
        <m:sSup>
          <m:sSupPr>
            <m:ctrlPr>
              <w:rPr>
                <w:rFonts w:hint="default" w:ascii="Cambria Math" w:hAnsi="Cambria Math"/>
                <w:sz w:val="21"/>
              </w:rPr>
            </m:ctrlPr>
          </m:sSupPr>
          <m:e>
            <m:r>
              <m:rPr/>
              <w:rPr>
                <w:rFonts w:hint="default" w:ascii="Cambria Math" w:hAnsi="Cambria Math"/>
                <w:sz w:val="21"/>
              </w:rPr>
              <m:t>y</m:t>
            </m:r>
            <m:ctrlPr>
              <w:rPr>
                <w:rFonts w:ascii="Cambria Math" w:hAnsi="Cambria Math"/>
                <w:sz w:val="21"/>
              </w:rPr>
            </m:ctrlPr>
          </m:e>
          <m:sup>
            <m:r>
              <m:rPr/>
              <w:rPr>
                <w:rFonts w:hint="default" w:ascii="Cambria Math" w:hAnsi="Cambria Math"/>
                <w:sz w:val="21"/>
              </w:rPr>
              <m:t>+</m:t>
            </m:r>
            <m:ctrlPr>
              <w:rPr>
                <w:rFonts w:ascii="Cambria Math" w:hAnsi="Cambria Math"/>
                <w:sz w:val="21"/>
              </w:rPr>
            </m:ctrlPr>
          </m:sup>
        </m:sSup>
      </m:oMath>
      <w:r>
        <w:rPr>
          <w:rFonts w:hint="eastAsia"/>
        </w:rPr>
        <w:t>&lt; 100。</w:t>
      </w:r>
    </w:p>
    <w:p w14:paraId="662D98F4">
      <w:pPr>
        <w:rPr>
          <w:rFonts w:hint="eastAsia"/>
        </w:rPr>
      </w:pPr>
      <w:r>
        <w:rPr>
          <w:rFonts w:hint="eastAsia"/>
        </w:rPr>
        <w:t>2.4.4.3 边界层网格应避免在壁面法线方向上伸展过快，推荐边界层网格伸展率不大于1.2，边界层层数不少于</w:t>
      </w:r>
      <w:r>
        <w:rPr>
          <w:rFonts w:hint="eastAsia"/>
          <w:lang w:val="en-US" w:eastAsia="zh-CN"/>
        </w:rPr>
        <w:t>4</w:t>
      </w:r>
      <w:r>
        <w:rPr>
          <w:rFonts w:hint="eastAsia"/>
        </w:rPr>
        <w:t>层。</w:t>
      </w:r>
    </w:p>
    <w:p w14:paraId="6B52B3A6">
      <w:pPr>
        <w:pStyle w:val="4"/>
        <w:bidi w:val="0"/>
        <w:rPr>
          <w:rFonts w:hint="eastAsia"/>
        </w:rPr>
      </w:pPr>
      <w:r>
        <w:rPr>
          <w:rFonts w:hint="eastAsia"/>
        </w:rPr>
        <w:t xml:space="preserve"> 2.4.5 网格质量检查</w:t>
      </w:r>
    </w:p>
    <w:p w14:paraId="74B045F3">
      <w:pPr>
        <w:rPr>
          <w:rFonts w:hint="eastAsia"/>
        </w:rPr>
      </w:pPr>
      <w:r>
        <w:rPr>
          <w:rFonts w:hint="eastAsia"/>
        </w:rPr>
        <w:t>2.4.5.1 应检查网格质量以保证所有网格没有负体积或扭曲网格，网格的扭曲度和长宽比应在可接受范围内。</w:t>
      </w:r>
    </w:p>
    <w:p w14:paraId="7AEE1808">
      <w:pPr>
        <w:rPr>
          <w:rFonts w:hint="eastAsia"/>
        </w:rPr>
      </w:pPr>
      <w:r>
        <w:rPr>
          <w:rFonts w:hint="eastAsia"/>
        </w:rPr>
        <w:t>2.4.5.2 网格最小正交角应大于5度。</w:t>
      </w:r>
    </w:p>
    <w:p w14:paraId="0410FE97">
      <w:pPr>
        <w:pStyle w:val="3"/>
        <w:bidi w:val="0"/>
        <w:rPr>
          <w:rFonts w:hint="eastAsia"/>
        </w:rPr>
      </w:pPr>
      <w:r>
        <w:rPr>
          <w:rFonts w:hint="eastAsia"/>
        </w:rPr>
        <w:t xml:space="preserve"> </w:t>
      </w:r>
      <w:bookmarkStart w:id="8" w:name="_Toc17967"/>
      <w:r>
        <w:rPr>
          <w:rFonts w:hint="eastAsia"/>
        </w:rPr>
        <w:t>第5节 多相流与自由面捕捉</w:t>
      </w:r>
      <w:bookmarkEnd w:id="8"/>
    </w:p>
    <w:p w14:paraId="28943437">
      <w:pPr>
        <w:pStyle w:val="4"/>
        <w:bidi w:val="0"/>
        <w:rPr>
          <w:rFonts w:hint="eastAsia"/>
        </w:rPr>
      </w:pPr>
      <w:r>
        <w:rPr>
          <w:rFonts w:hint="eastAsia"/>
        </w:rPr>
        <w:t xml:space="preserve"> 2.5.1 VOF方法</w:t>
      </w:r>
    </w:p>
    <w:p w14:paraId="3CFE3233">
      <w:pPr>
        <w:rPr>
          <w:rFonts w:hint="eastAsia"/>
        </w:rPr>
      </w:pPr>
      <w:r>
        <w:rPr>
          <w:rFonts w:hint="eastAsia"/>
        </w:rPr>
        <w:t>2.5.1.1 应采用VOF（Volume of Fluid）方法描述空气和水两相分布，通过求解体积分数输运方程捕捉救生艇入水引起的自由面抬升、飞溅和水气界面演化。</w:t>
      </w:r>
    </w:p>
    <w:p w14:paraId="300324CC">
      <w:pPr>
        <w:rPr>
          <w:rFonts w:hint="eastAsia"/>
        </w:rPr>
      </w:pPr>
      <w:r>
        <w:rPr>
          <w:rFonts w:hint="eastAsia"/>
        </w:rPr>
        <w:t>2.5.1.2 计算开始前应保证静水面高度、艇体初始位置和相分数分布一致。</w:t>
      </w:r>
    </w:p>
    <w:p w14:paraId="749393D7">
      <w:pPr>
        <w:pStyle w:val="4"/>
        <w:bidi w:val="0"/>
        <w:rPr>
          <w:rFonts w:hint="eastAsia"/>
        </w:rPr>
      </w:pPr>
      <w:r>
        <w:rPr>
          <w:rFonts w:hint="eastAsia"/>
        </w:rPr>
        <w:t xml:space="preserve"> 2.5.2 VOF守恒性监测</w:t>
      </w:r>
    </w:p>
    <w:p w14:paraId="70B5586C">
      <w:pPr>
        <w:rPr>
          <w:rFonts w:hint="eastAsia"/>
        </w:rPr>
      </w:pPr>
      <w:r>
        <w:rPr>
          <w:rFonts w:hint="eastAsia"/>
        </w:rPr>
        <w:t>2.5.2.1 由于空气和水的密度差异较大（约1000倍），VOF方法中较小的体积分数数值误差可能导致较大的物理参数偏差。应对计算域内水的体积分数总量进行监测。</w:t>
      </w:r>
    </w:p>
    <w:p w14:paraId="1E882CE6">
      <w:pPr>
        <w:rPr>
          <w:rFonts w:hint="eastAsia"/>
        </w:rPr>
      </w:pPr>
      <w:r>
        <w:rPr>
          <w:rFonts w:hint="eastAsia"/>
        </w:rPr>
        <w:t>2.5.2.2 若计算过程中水体体积损失超过合理范围（如5%），应检查网格质量、时间步长及自由面捕捉格式，并在评估报告中说明。</w:t>
      </w:r>
    </w:p>
    <w:p w14:paraId="644F8414">
      <w:pPr>
        <w:pStyle w:val="3"/>
        <w:bidi w:val="0"/>
        <w:rPr>
          <w:rFonts w:hint="eastAsia"/>
        </w:rPr>
      </w:pPr>
      <w:r>
        <w:rPr>
          <w:rFonts w:hint="eastAsia"/>
        </w:rPr>
        <w:t xml:space="preserve"> </w:t>
      </w:r>
      <w:bookmarkStart w:id="9" w:name="_Toc15802"/>
      <w:r>
        <w:rPr>
          <w:rFonts w:hint="eastAsia"/>
        </w:rPr>
        <w:t>第6节 湍流模型</w:t>
      </w:r>
      <w:bookmarkEnd w:id="9"/>
    </w:p>
    <w:p w14:paraId="7F0D4C2B">
      <w:pPr>
        <w:pStyle w:val="4"/>
        <w:bidi w:val="0"/>
        <w:rPr>
          <w:rFonts w:hint="eastAsia"/>
        </w:rPr>
      </w:pPr>
      <w:r>
        <w:rPr>
          <w:rFonts w:hint="eastAsia"/>
        </w:rPr>
        <w:t xml:space="preserve"> 2.6.1 湍流模型选择</w:t>
      </w:r>
    </w:p>
    <w:p w14:paraId="383CD8CB">
      <w:pPr>
        <w:rPr>
          <w:rFonts w:hint="eastAsia"/>
        </w:rPr>
      </w:pPr>
      <w:r>
        <w:rPr>
          <w:rFonts w:hint="eastAsia"/>
        </w:rPr>
        <w:t>2.6.1.1 湍流模型应至少采用两方程模型。</w:t>
      </w:r>
    </w:p>
    <w:p w14:paraId="105D631A">
      <w:pPr>
        <w:rPr>
          <w:rFonts w:hint="eastAsia"/>
        </w:rPr>
      </w:pPr>
      <w:r>
        <w:rPr>
          <w:rFonts w:hint="eastAsia"/>
        </w:rPr>
        <w:t>2.6.1.2 对于入水砰击问题，推荐采用剪切应力输运k-ω模型（SST k-ω），以兼顾近壁面计算稳定性和分离流动预测能力。</w:t>
      </w:r>
    </w:p>
    <w:p w14:paraId="1DAB9A3C">
      <w:pPr>
        <w:rPr>
          <w:rFonts w:hint="eastAsia"/>
        </w:rPr>
      </w:pPr>
      <w:r>
        <w:rPr>
          <w:rFonts w:hint="eastAsia"/>
        </w:rPr>
        <w:t>2.6.1.3 可采用经认可的替代湍流模型，如Realizable k-ε模型等，但应在评估报告中说明选择的理由。</w:t>
      </w:r>
    </w:p>
    <w:p w14:paraId="58748E76">
      <w:pPr>
        <w:pStyle w:val="3"/>
        <w:bidi w:val="0"/>
        <w:rPr>
          <w:rFonts w:hint="eastAsia"/>
        </w:rPr>
      </w:pPr>
      <w:r>
        <w:rPr>
          <w:rFonts w:hint="eastAsia"/>
        </w:rPr>
        <w:t xml:space="preserve"> </w:t>
      </w:r>
      <w:bookmarkStart w:id="10" w:name="_Toc6933"/>
      <w:r>
        <w:rPr>
          <w:rFonts w:hint="eastAsia"/>
        </w:rPr>
        <w:t>第7节 六自由度运动方程</w:t>
      </w:r>
      <w:bookmarkEnd w:id="10"/>
    </w:p>
    <w:p w14:paraId="59D9117C">
      <w:pPr>
        <w:pStyle w:val="4"/>
        <w:bidi w:val="0"/>
        <w:rPr>
          <w:rFonts w:hint="eastAsia"/>
        </w:rPr>
      </w:pPr>
      <w:r>
        <w:rPr>
          <w:rFonts w:hint="eastAsia"/>
        </w:rPr>
        <w:t xml:space="preserve"> 2.7.1 刚体运动方程</w:t>
      </w:r>
    </w:p>
    <w:p w14:paraId="1FBD73B7">
      <w:pPr>
        <w:rPr>
          <w:rFonts w:hint="eastAsia"/>
        </w:rPr>
      </w:pPr>
      <w:r>
        <w:rPr>
          <w:rFonts w:hint="eastAsia"/>
        </w:rPr>
        <w:t>2.7.1.1 救生艇在计算中应作为刚体处理，其运动由六自由度动力学方程控制，包括三个平动自由度和三个转动自由度。</w:t>
      </w:r>
    </w:p>
    <w:p w14:paraId="2C4FD9C7">
      <w:pPr>
        <w:rPr>
          <w:rFonts w:hint="eastAsia"/>
        </w:rPr>
      </w:pPr>
      <w:r>
        <w:rPr>
          <w:rFonts w:hint="eastAsia"/>
        </w:rPr>
        <w:t>2.7.1.2 求解器应根据艇体表面压力和</w:t>
      </w:r>
      <w:r>
        <w:rPr>
          <w:rFonts w:hint="eastAsia"/>
          <w:lang w:eastAsia="zh-CN"/>
        </w:rPr>
        <w:t>粘</w:t>
      </w:r>
      <w:r>
        <w:rPr>
          <w:rFonts w:hint="eastAsia"/>
        </w:rPr>
        <w:t>性应力积分得到水动力载荷和力矩，并结合重力、浮力及用户设置的质量、惯性矩和重心位置，更新救生艇的位移、速度、角速度、姿态角和加速度等响应量。</w:t>
      </w:r>
    </w:p>
    <w:p w14:paraId="524520FC">
      <w:pPr>
        <w:pStyle w:val="4"/>
        <w:bidi w:val="0"/>
        <w:rPr>
          <w:rFonts w:hint="eastAsia"/>
        </w:rPr>
      </w:pPr>
      <w:r>
        <w:rPr>
          <w:rFonts w:hint="eastAsia"/>
        </w:rPr>
        <w:t xml:space="preserve"> 2.7.2 参数输入</w:t>
      </w:r>
    </w:p>
    <w:p w14:paraId="60AFB176">
      <w:pPr>
        <w:rPr>
          <w:rFonts w:hint="eastAsia"/>
        </w:rPr>
      </w:pPr>
      <w:r>
        <w:rPr>
          <w:rFonts w:hint="eastAsia"/>
        </w:rPr>
        <w:t>2.7.2.1 救生艇的质量、惯性矩和重心位置应依据设计数据或重量重心计算书确定，并在评估报告中详细说明。</w:t>
      </w:r>
    </w:p>
    <w:p w14:paraId="3ABC7D2F">
      <w:pPr>
        <w:pStyle w:val="3"/>
        <w:bidi w:val="0"/>
        <w:rPr>
          <w:rFonts w:hint="eastAsia"/>
        </w:rPr>
      </w:pPr>
      <w:r>
        <w:rPr>
          <w:rFonts w:hint="eastAsia"/>
        </w:rPr>
        <w:t xml:space="preserve"> </w:t>
      </w:r>
      <w:bookmarkStart w:id="11" w:name="_Toc18689"/>
      <w:r>
        <w:rPr>
          <w:rFonts w:hint="eastAsia"/>
        </w:rPr>
        <w:t>第8节 离散方案与求解算法</w:t>
      </w:r>
      <w:bookmarkEnd w:id="11"/>
    </w:p>
    <w:p w14:paraId="31B7100D">
      <w:pPr>
        <w:pStyle w:val="4"/>
        <w:bidi w:val="0"/>
        <w:rPr>
          <w:rFonts w:hint="eastAsia"/>
        </w:rPr>
      </w:pPr>
      <w:r>
        <w:rPr>
          <w:rFonts w:hint="eastAsia"/>
        </w:rPr>
        <w:t xml:space="preserve"> 2.8.1 离散格式</w:t>
      </w:r>
    </w:p>
    <w:p w14:paraId="0D26ECF9">
      <w:pPr>
        <w:rPr>
          <w:rFonts w:hint="eastAsia"/>
        </w:rPr>
      </w:pPr>
      <w:r>
        <w:rPr>
          <w:rFonts w:hint="eastAsia"/>
        </w:rPr>
        <w:t>2.8.1.1 控制方程应采用有限体积法进行离散。</w:t>
      </w:r>
    </w:p>
    <w:p w14:paraId="620EBD8B">
      <w:pPr>
        <w:rPr>
          <w:rFonts w:hint="eastAsia"/>
        </w:rPr>
      </w:pPr>
      <w:r>
        <w:rPr>
          <w:rFonts w:hint="eastAsia"/>
        </w:rPr>
        <w:t>2.8.1.2 控制方程中的扩散项建议使用中心差分格式进行离散。</w:t>
      </w:r>
    </w:p>
    <w:p w14:paraId="047713ED">
      <w:pPr>
        <w:rPr>
          <w:rFonts w:hint="eastAsia"/>
        </w:rPr>
      </w:pPr>
      <w:r>
        <w:rPr>
          <w:rFonts w:hint="eastAsia"/>
        </w:rPr>
        <w:t>2.8.1.3 对流项建议使用二阶迎风格式进行离散。</w:t>
      </w:r>
    </w:p>
    <w:p w14:paraId="522B6DFA">
      <w:pPr>
        <w:rPr>
          <w:rFonts w:hint="eastAsia"/>
        </w:rPr>
      </w:pPr>
      <w:r>
        <w:rPr>
          <w:rFonts w:hint="eastAsia"/>
        </w:rPr>
        <w:t>2.8.1.4 边界层湍流的求解应具备二阶精度以上的差分格式。</w:t>
      </w:r>
    </w:p>
    <w:p w14:paraId="2DA1D74E">
      <w:pPr>
        <w:pStyle w:val="4"/>
        <w:bidi w:val="0"/>
        <w:rPr>
          <w:rFonts w:hint="eastAsia"/>
        </w:rPr>
      </w:pPr>
      <w:r>
        <w:rPr>
          <w:rFonts w:hint="eastAsia"/>
        </w:rPr>
        <w:t xml:space="preserve"> 2.8.2 压力-速度耦合</w:t>
      </w:r>
    </w:p>
    <w:p w14:paraId="68E339FD">
      <w:pPr>
        <w:rPr>
          <w:rFonts w:hint="eastAsia"/>
        </w:rPr>
      </w:pPr>
      <w:r>
        <w:rPr>
          <w:rFonts w:hint="eastAsia"/>
        </w:rPr>
        <w:t>2.8.2.1 压力-速度耦合应采用PIMPLE或PISO类算法实现，以保证瞬态入水过程中的质量守恒和计算稳定性。</w:t>
      </w:r>
    </w:p>
    <w:p w14:paraId="73FB7EF1">
      <w:pPr>
        <w:pStyle w:val="4"/>
        <w:bidi w:val="0"/>
        <w:rPr>
          <w:rFonts w:hint="eastAsia"/>
        </w:rPr>
      </w:pPr>
      <w:r>
        <w:rPr>
          <w:rFonts w:hint="eastAsia"/>
        </w:rPr>
        <w:t xml:space="preserve"> 2.8.3 时间离散</w:t>
      </w:r>
    </w:p>
    <w:p w14:paraId="40DD4E27">
      <w:pPr>
        <w:rPr>
          <w:rFonts w:hint="eastAsia"/>
        </w:rPr>
      </w:pPr>
      <w:r>
        <w:rPr>
          <w:rFonts w:hint="eastAsia"/>
        </w:rPr>
        <w:t>2.8.3.1 对于入水砰击这类瞬态强非线性问题，需使用二阶时间离散方案。</w:t>
      </w:r>
    </w:p>
    <w:p w14:paraId="65FB4D8B">
      <w:pPr>
        <w:pStyle w:val="3"/>
        <w:bidi w:val="0"/>
        <w:rPr>
          <w:rFonts w:hint="eastAsia"/>
        </w:rPr>
      </w:pPr>
      <w:r>
        <w:rPr>
          <w:rFonts w:hint="eastAsia"/>
        </w:rPr>
        <w:t xml:space="preserve"> </w:t>
      </w:r>
      <w:bookmarkStart w:id="12" w:name="_Toc30582"/>
      <w:r>
        <w:rPr>
          <w:rFonts w:hint="eastAsia"/>
        </w:rPr>
        <w:t>第9节 时间步长与收敛性判据</w:t>
      </w:r>
      <w:bookmarkEnd w:id="12"/>
    </w:p>
    <w:p w14:paraId="3E320108">
      <w:pPr>
        <w:pStyle w:val="4"/>
        <w:bidi w:val="0"/>
        <w:rPr>
          <w:rFonts w:hint="eastAsia"/>
        </w:rPr>
      </w:pPr>
      <w:r>
        <w:rPr>
          <w:rFonts w:hint="eastAsia"/>
        </w:rPr>
        <w:t xml:space="preserve"> 2.9.1 时间步长</w:t>
      </w:r>
    </w:p>
    <w:p w14:paraId="5BE99601">
      <w:pPr>
        <w:rPr>
          <w:rFonts w:hint="eastAsia"/>
        </w:rPr>
      </w:pPr>
      <w:r>
        <w:rPr>
          <w:rFonts w:hint="eastAsia"/>
        </w:rPr>
        <w:t>2.9.1.1 时间步长选择应满足Courant-Friedrichs-Lewy（CFL）条件：</w:t>
      </w:r>
    </w:p>
    <w:p w14:paraId="3E33E05D">
      <w:pPr>
        <w:jc w:val="center"/>
        <w:rPr>
          <w:rFonts w:hint="eastAsia"/>
        </w:rPr>
      </w:pPr>
      <m:oMathPara>
        <m:oMath>
          <m:f>
            <m:fPr>
              <m:ctrlPr>
                <w:rPr>
                  <w:rFonts w:hint="default" w:ascii="Cambria Math" w:hAnsi="Cambria Math"/>
                  <w:sz w:val="21"/>
                </w:rPr>
              </m:ctrlPr>
            </m:fPr>
            <m:num>
              <m:r>
                <m:rPr/>
                <w:rPr>
                  <w:rFonts w:hint="default" w:ascii="Cambria Math" w:hAnsi="Cambria Math"/>
                  <w:sz w:val="21"/>
                </w:rPr>
                <m:t>|</m:t>
              </m:r>
              <m:acc>
                <m:accPr>
                  <m:chr m:val="⃗"/>
                  <m:ctrlPr>
                    <w:rPr>
                      <w:rFonts w:hint="default" w:ascii="Cambria Math" w:hAnsi="Cambria Math"/>
                      <w:sz w:val="21"/>
                    </w:rPr>
                  </m:ctrlPr>
                </m:accPr>
                <m:e>
                  <m:r>
                    <m:rPr/>
                    <w:rPr>
                      <w:rFonts w:hint="default" w:ascii="Cambria Math" w:hAnsi="Cambria Math"/>
                      <w:sz w:val="21"/>
                    </w:rPr>
                    <m:t>u</m:t>
                  </m:r>
                  <m:ctrlPr>
                    <w:rPr>
                      <w:rFonts w:ascii="Cambria Math" w:hAnsi="Cambria Math"/>
                      <w:sz w:val="21"/>
                    </w:rPr>
                  </m:ctrlPr>
                </m:e>
              </m:acc>
              <m:r>
                <m:rPr/>
                <w:rPr>
                  <w:rFonts w:hint="default" w:ascii="Cambria Math" w:hAnsi="Cambria Math"/>
                  <w:sz w:val="21"/>
                </w:rPr>
                <m:t>|Δt</m:t>
              </m:r>
              <m:ctrlPr>
                <w:rPr>
                  <w:rFonts w:hint="default" w:ascii="Cambria Math" w:hAnsi="Cambria Math"/>
                  <w:sz w:val="21"/>
                </w:rPr>
              </m:ctrlPr>
            </m:num>
            <m:den>
              <m:r>
                <m:rPr/>
                <w:rPr>
                  <w:rFonts w:hint="default" w:ascii="Cambria Math" w:hAnsi="Cambria Math"/>
                  <w:sz w:val="21"/>
                </w:rPr>
                <m:t>Δx</m:t>
              </m:r>
              <m:ctrlPr>
                <w:rPr>
                  <w:rFonts w:hint="default" w:ascii="Cambria Math" w:hAnsi="Cambria Math"/>
                  <w:sz w:val="21"/>
                </w:rPr>
              </m:ctrlPr>
            </m:den>
          </m:f>
          <m:r>
            <m:rPr/>
            <w:rPr>
              <w:rFonts w:hint="default" w:ascii="Cambria Math" w:hAnsi="Cambria Math"/>
              <w:sz w:val="21"/>
            </w:rPr>
            <m:t>&lt;</m:t>
          </m:r>
          <m:sSub>
            <m:sSubPr>
              <m:ctrlPr>
                <w:rPr>
                  <w:rFonts w:hint="default" w:ascii="Cambria Math" w:hAnsi="Cambria Math"/>
                  <w:sz w:val="21"/>
                </w:rPr>
              </m:ctrlPr>
            </m:sSubPr>
            <m:e>
              <m:r>
                <m:rPr/>
                <w:rPr>
                  <w:rFonts w:hint="default" w:ascii="Cambria Math" w:hAnsi="Cambria Math"/>
                  <w:sz w:val="21"/>
                </w:rPr>
                <m:t>C</m:t>
              </m:r>
              <m:ctrlPr>
                <w:rPr>
                  <w:rFonts w:hint="default" w:ascii="Cambria Math" w:hAnsi="Cambria Math"/>
                  <w:sz w:val="21"/>
                </w:rPr>
              </m:ctrlPr>
            </m:e>
            <m:sub>
              <m:r>
                <m:rPr>
                  <m:sty m:val="p"/>
                </m:rPr>
                <w:rPr>
                  <w:rFonts w:hint="default" w:ascii="Cambria Math" w:hAnsi="Cambria Math"/>
                  <w:sz w:val="21"/>
                  <w:lang w:val="en-US" w:eastAsia="zh-CN"/>
                </w:rPr>
                <m:t>max</m:t>
              </m:r>
              <m:ctrlPr>
                <w:rPr>
                  <w:rFonts w:hint="default" w:ascii="Cambria Math" w:hAnsi="Cambria Math"/>
                  <w:sz w:val="21"/>
                </w:rPr>
              </m:ctrlPr>
            </m:sub>
          </m:sSub>
        </m:oMath>
      </m:oMathPara>
    </w:p>
    <w:p w14:paraId="09BD161A">
      <w:pPr>
        <w:rPr>
          <w:rFonts w:hint="eastAsia"/>
        </w:rPr>
      </w:pPr>
      <w:r>
        <w:rPr>
          <w:rFonts w:hint="eastAsia"/>
        </w:rPr>
        <w:t>式中：</w:t>
      </w:r>
      <m:oMath>
        <m:r>
          <m:rPr/>
          <w:rPr>
            <w:rFonts w:hint="default" w:ascii="Cambria Math" w:hAnsi="Cambria Math"/>
            <w:sz w:val="21"/>
          </w:rPr>
          <m:t>|</m:t>
        </m:r>
        <m:acc>
          <m:accPr>
            <m:chr m:val="⃗"/>
            <m:ctrlPr>
              <w:rPr>
                <w:rFonts w:hint="default" w:ascii="Cambria Math" w:hAnsi="Cambria Math"/>
                <w:sz w:val="21"/>
              </w:rPr>
            </m:ctrlPr>
          </m:accPr>
          <m:e>
            <m:r>
              <m:rPr/>
              <w:rPr>
                <w:rFonts w:hint="default" w:ascii="Cambria Math" w:hAnsi="Cambria Math"/>
                <w:sz w:val="21"/>
              </w:rPr>
              <m:t>u</m:t>
            </m:r>
            <m:ctrlPr>
              <w:rPr>
                <w:rFonts w:ascii="Cambria Math" w:hAnsi="Cambria Math"/>
                <w:sz w:val="21"/>
              </w:rPr>
            </m:ctrlPr>
          </m:e>
        </m:acc>
        <m:r>
          <m:rPr/>
          <w:rPr>
            <w:rFonts w:hint="default" w:ascii="Cambria Math" w:hAnsi="Cambria Math"/>
            <w:sz w:val="21"/>
          </w:rPr>
          <m:t>|</m:t>
        </m:r>
      </m:oMath>
      <w:r>
        <w:rPr>
          <w:rFonts w:hint="eastAsia"/>
        </w:rPr>
        <w:t>——局部速</w:t>
      </w:r>
      <w:r>
        <w:rPr>
          <w:rFonts w:hint="eastAsia"/>
          <w:lang w:val="en-US" w:eastAsia="zh-CN"/>
        </w:rPr>
        <w:t>率</w:t>
      </w:r>
      <w:r>
        <w:rPr>
          <w:rFonts w:hint="eastAsia"/>
        </w:rPr>
        <w:t>；</w:t>
      </w:r>
    </w:p>
    <w:p w14:paraId="2464F46E">
      <w:pPr>
        <w:ind w:firstLine="630" w:firstLineChars="300"/>
        <w:rPr>
          <w:rFonts w:hint="eastAsia"/>
        </w:rPr>
      </w:pPr>
      <m:oMath>
        <m:r>
          <m:rPr/>
          <w:rPr>
            <w:rFonts w:hint="default" w:ascii="Cambria Math" w:hAnsi="Cambria Math"/>
            <w:sz w:val="21"/>
          </w:rPr>
          <m:t>Δt</m:t>
        </m:r>
      </m:oMath>
      <w:r>
        <w:rPr>
          <w:rFonts w:hint="eastAsia"/>
        </w:rPr>
        <w:t>——时间步长；</w:t>
      </w:r>
    </w:p>
    <w:p w14:paraId="3F5863CA">
      <w:pPr>
        <w:ind w:firstLine="630" w:firstLineChars="300"/>
        <w:rPr>
          <w:rFonts w:hint="eastAsia"/>
        </w:rPr>
      </w:pPr>
      <m:oMath>
        <m:r>
          <m:rPr/>
          <w:rPr>
            <w:rFonts w:hint="default" w:ascii="Cambria Math" w:hAnsi="Cambria Math"/>
            <w:sz w:val="21"/>
          </w:rPr>
          <m:t>Δx</m:t>
        </m:r>
      </m:oMath>
      <w:r>
        <w:rPr>
          <w:rFonts w:hint="eastAsia"/>
        </w:rPr>
        <w:t>——流动方向单元尺寸；</w:t>
      </w:r>
    </w:p>
    <w:p w14:paraId="7EF492F9">
      <w:pPr>
        <w:ind w:firstLine="630" w:firstLineChars="300"/>
        <w:rPr>
          <w:rFonts w:hint="eastAsia"/>
        </w:rPr>
      </w:pPr>
      <m:oMath>
        <m:sSub>
          <m:sSubPr>
            <m:ctrlPr>
              <w:rPr>
                <w:rFonts w:hint="default" w:ascii="Cambria Math" w:hAnsi="Cambria Math"/>
                <w:sz w:val="21"/>
              </w:rPr>
            </m:ctrlPr>
          </m:sSubPr>
          <m:e>
            <m:r>
              <m:rPr/>
              <w:rPr>
                <w:rFonts w:hint="default" w:ascii="Cambria Math" w:hAnsi="Cambria Math"/>
                <w:sz w:val="21"/>
              </w:rPr>
              <m:t>C</m:t>
            </m:r>
            <m:ctrlPr>
              <w:rPr>
                <w:rFonts w:hint="default" w:ascii="Cambria Math" w:hAnsi="Cambria Math"/>
                <w:sz w:val="21"/>
              </w:rPr>
            </m:ctrlPr>
          </m:e>
          <m:sub>
            <m:r>
              <m:rPr>
                <m:sty m:val="p"/>
              </m:rPr>
              <w:rPr>
                <w:rFonts w:hint="eastAsia" w:ascii="Cambria Math" w:hAnsi="Cambria Math"/>
                <w:sz w:val="21"/>
                <w:lang w:val="en-US" w:eastAsia="zh-CN"/>
              </w:rPr>
              <m:t>max</m:t>
            </m:r>
            <m:ctrlPr>
              <w:rPr>
                <w:rFonts w:hint="default" w:ascii="Cambria Math" w:hAnsi="Cambria Math"/>
                <w:sz w:val="21"/>
              </w:rPr>
            </m:ctrlPr>
          </m:sub>
        </m:sSub>
      </m:oMath>
      <w:r>
        <w:rPr>
          <w:rFonts w:hint="eastAsia"/>
        </w:rPr>
        <w:t>——最大库朗数。</w:t>
      </w:r>
    </w:p>
    <w:p w14:paraId="653DF742">
      <w:pPr>
        <w:rPr>
          <w:rFonts w:hint="eastAsia"/>
        </w:rPr>
      </w:pPr>
      <w:r>
        <w:rPr>
          <w:rFonts w:hint="eastAsia"/>
        </w:rPr>
        <w:t>2.9.1.2 为保证计算收敛，最大Courant数原则上应小于1。</w:t>
      </w:r>
    </w:p>
    <w:p w14:paraId="4F5B7EC9">
      <w:pPr>
        <w:rPr>
          <w:rFonts w:hint="eastAsia"/>
        </w:rPr>
      </w:pPr>
      <w:r>
        <w:rPr>
          <w:rFonts w:hint="eastAsia"/>
        </w:rPr>
        <w:t>2.9.1.3 入水冲击阶段应使用更小的时间步长以分辨压力峰值。</w:t>
      </w:r>
    </w:p>
    <w:p w14:paraId="48C90D48">
      <w:pPr>
        <w:pStyle w:val="4"/>
        <w:bidi w:val="0"/>
        <w:rPr>
          <w:rFonts w:hint="eastAsia"/>
        </w:rPr>
      </w:pPr>
      <w:r>
        <w:rPr>
          <w:rFonts w:hint="eastAsia"/>
        </w:rPr>
        <w:t xml:space="preserve"> 2.9.2 收敛性判据</w:t>
      </w:r>
    </w:p>
    <w:p w14:paraId="68348BD8">
      <w:pPr>
        <w:rPr>
          <w:rFonts w:hint="eastAsia"/>
        </w:rPr>
      </w:pPr>
      <w:r>
        <w:rPr>
          <w:rFonts w:hint="eastAsia"/>
        </w:rPr>
        <w:t>2.9.2.1 为确保求解方案可靠收敛，应定义和检查收敛性判据。收敛性判据应根据具体的CFD求解器，对质量及动量方程的残差变化进行评估，同时监测力、力矩及加速度等积分量达到稳定。</w:t>
      </w:r>
    </w:p>
    <w:p w14:paraId="54DD996D">
      <w:pPr>
        <w:rPr>
          <w:rFonts w:hint="eastAsia"/>
        </w:rPr>
      </w:pPr>
      <w:r>
        <w:rPr>
          <w:rFonts w:hint="eastAsia"/>
        </w:rPr>
        <w:t>2.9.2.2 CFD计算报告应提供残差、力或力矩的历时曲线。</w:t>
      </w:r>
    </w:p>
    <w:p w14:paraId="34276612">
      <w:pPr>
        <w:rPr>
          <w:rFonts w:hint="eastAsia"/>
        </w:rPr>
      </w:pPr>
      <w:r>
        <w:rPr>
          <w:rFonts w:hint="eastAsia"/>
        </w:rPr>
        <w:br w:type="page"/>
      </w:r>
    </w:p>
    <w:p w14:paraId="59F00578">
      <w:pPr>
        <w:pStyle w:val="2"/>
        <w:bidi w:val="0"/>
        <w:rPr>
          <w:rFonts w:hint="eastAsia"/>
        </w:rPr>
      </w:pPr>
      <w:r>
        <w:rPr>
          <w:rFonts w:hint="eastAsia"/>
        </w:rPr>
        <w:t xml:space="preserve"> </w:t>
      </w:r>
      <w:bookmarkStart w:id="13" w:name="_Toc25818"/>
      <w:r>
        <w:rPr>
          <w:rFonts w:hint="eastAsia"/>
        </w:rPr>
        <w:t>第3章 评估流程与计算方法</w:t>
      </w:r>
      <w:bookmarkEnd w:id="13"/>
    </w:p>
    <w:p w14:paraId="69DD2F79">
      <w:pPr>
        <w:pStyle w:val="3"/>
        <w:bidi w:val="0"/>
        <w:rPr>
          <w:rFonts w:hint="eastAsia"/>
        </w:rPr>
      </w:pPr>
      <w:r>
        <w:rPr>
          <w:rFonts w:hint="eastAsia"/>
        </w:rPr>
        <w:t xml:space="preserve"> </w:t>
      </w:r>
      <w:bookmarkStart w:id="14" w:name="_Toc3605"/>
      <w:r>
        <w:rPr>
          <w:rFonts w:hint="eastAsia"/>
        </w:rPr>
        <w:t>第1节 一般规定</w:t>
      </w:r>
      <w:bookmarkEnd w:id="14"/>
    </w:p>
    <w:p w14:paraId="5ADF18B5">
      <w:pPr>
        <w:pStyle w:val="4"/>
        <w:bidi w:val="0"/>
        <w:rPr>
          <w:rFonts w:hint="eastAsia"/>
        </w:rPr>
      </w:pPr>
      <w:r>
        <w:rPr>
          <w:rFonts w:hint="eastAsia"/>
        </w:rPr>
        <w:t xml:space="preserve"> 3.1.1 总体评估流程</w:t>
      </w:r>
    </w:p>
    <w:p w14:paraId="70D2E4C8">
      <w:pPr>
        <w:rPr>
          <w:rFonts w:hint="eastAsia"/>
        </w:rPr>
      </w:pPr>
      <w:r>
        <w:rPr>
          <w:rFonts w:hint="eastAsia"/>
        </w:rPr>
        <w:t>3.1.1.1 救生艇抛投试验数字化评估应按照以下流程进行：</w:t>
      </w:r>
    </w:p>
    <w:p w14:paraId="366F8771">
      <w:pPr>
        <w:rPr>
          <w:rFonts w:hint="eastAsia"/>
        </w:rPr>
      </w:pPr>
      <w:r>
        <w:rPr>
          <w:rFonts w:hint="eastAsia"/>
        </w:rPr>
        <w:t>（1）确定抛投参数（抛投高度、初始俯仰角、初始横倾角、释放速度）；</w:t>
      </w:r>
    </w:p>
    <w:p w14:paraId="27B1CDD8">
      <w:pPr>
        <w:rPr>
          <w:rFonts w:hint="eastAsia"/>
        </w:rPr>
      </w:pPr>
      <w:r>
        <w:rPr>
          <w:rFonts w:hint="eastAsia"/>
        </w:rPr>
        <w:t>（2）执行空中运动阶段评估，获取救生艇到达水面瞬间的速度矢量及姿态角；</w:t>
      </w:r>
    </w:p>
    <w:p w14:paraId="328A3C82">
      <w:pPr>
        <w:rPr>
          <w:rFonts w:hint="eastAsia"/>
        </w:rPr>
      </w:pPr>
      <w:r>
        <w:rPr>
          <w:rFonts w:hint="eastAsia"/>
        </w:rPr>
        <w:t>（3）以空中运动阶段的计算结果作为初始条件，执行静水入水砰击阶段评估；</w:t>
      </w:r>
    </w:p>
    <w:p w14:paraId="49E0C6EC">
      <w:pPr>
        <w:rPr>
          <w:rFonts w:hint="eastAsia"/>
        </w:rPr>
      </w:pPr>
      <w:r>
        <w:rPr>
          <w:rFonts w:hint="eastAsia"/>
        </w:rPr>
        <w:t>（4）对计算结果进行后处理，提取砰击载荷、运动响应及冲击加速度等关键指标；</w:t>
      </w:r>
    </w:p>
    <w:p w14:paraId="047751C3">
      <w:pPr>
        <w:rPr>
          <w:rFonts w:hint="eastAsia" w:eastAsiaTheme="minorEastAsia"/>
          <w:lang w:eastAsia="zh-CN"/>
        </w:rPr>
      </w:pPr>
      <w:r>
        <w:rPr>
          <w:rFonts w:hint="eastAsia"/>
        </w:rPr>
        <w:t>（5）</w:t>
      </w:r>
      <w:r>
        <w:rPr>
          <w:rFonts w:hint="eastAsia"/>
          <w:lang w:val="en-US" w:eastAsia="zh-CN"/>
        </w:rPr>
        <w:t>编制评估报告</w:t>
      </w:r>
      <w:r>
        <w:rPr>
          <w:rFonts w:hint="eastAsia"/>
          <w:lang w:eastAsia="zh-CN"/>
        </w:rPr>
        <w:t>。</w:t>
      </w:r>
    </w:p>
    <w:p w14:paraId="7FC45364">
      <w:pPr>
        <w:jc w:val="center"/>
        <w:rPr>
          <w:rFonts w:hint="eastAsia"/>
        </w:rPr>
      </w:pPr>
      <w:r>
        <w:rPr>
          <w:rFonts w:hint="eastAsia"/>
        </w:rPr>
        <w:object>
          <v:shape id="_x0000_i1025" o:spt="75" type="#_x0000_t75" style="height:397pt;width:317.5pt;" o:ole="t" filled="f" o:preferrelative="t" stroked="f" coordsize="21600,21600">
            <v:path/>
            <v:fill on="f" focussize="0,0"/>
            <v:stroke on="f"/>
            <v:imagedata r:id="rId10" o:title=""/>
            <o:lock v:ext="edit" aspectratio="f"/>
            <w10:wrap type="none"/>
            <w10:anchorlock/>
          </v:shape>
          <o:OLEObject Type="Embed" ProgID="Visio.Drawing.15" ShapeID="_x0000_i1025" DrawAspect="Content" ObjectID="_1468075725" r:id="rId9">
            <o:LockedField>false</o:LockedField>
          </o:OLEObject>
        </w:object>
      </w:r>
    </w:p>
    <w:p w14:paraId="2864965B">
      <w:pPr>
        <w:jc w:val="center"/>
        <w:rPr>
          <w:rFonts w:hint="eastAsia"/>
        </w:rPr>
      </w:pPr>
      <w:r>
        <w:rPr>
          <w:rFonts w:hint="eastAsia"/>
        </w:rPr>
        <w:t>图3.1.1.1 救生艇抛投试验数字化评估流程</w:t>
      </w:r>
    </w:p>
    <w:p w14:paraId="4FF3ACB8">
      <w:pPr>
        <w:rPr>
          <w:rFonts w:hint="eastAsia"/>
        </w:rPr>
      </w:pPr>
    </w:p>
    <w:p w14:paraId="3A221D82">
      <w:pPr>
        <w:pStyle w:val="3"/>
        <w:bidi w:val="0"/>
        <w:rPr>
          <w:rFonts w:hint="eastAsia"/>
        </w:rPr>
      </w:pPr>
      <w:r>
        <w:rPr>
          <w:rFonts w:hint="eastAsia"/>
        </w:rPr>
        <w:t xml:space="preserve"> </w:t>
      </w:r>
      <w:bookmarkStart w:id="15" w:name="_Toc27424"/>
      <w:r>
        <w:rPr>
          <w:rFonts w:hint="eastAsia"/>
        </w:rPr>
        <w:t>第2节 空中运动阶段评估</w:t>
      </w:r>
      <w:bookmarkEnd w:id="15"/>
    </w:p>
    <w:p w14:paraId="664EE396">
      <w:pPr>
        <w:pStyle w:val="4"/>
        <w:bidi w:val="0"/>
        <w:rPr>
          <w:rFonts w:hint="eastAsia"/>
        </w:rPr>
      </w:pPr>
      <w:r>
        <w:rPr>
          <w:rFonts w:hint="eastAsia"/>
        </w:rPr>
        <w:t xml:space="preserve"> 3.2.1 一般要求</w:t>
      </w:r>
    </w:p>
    <w:p w14:paraId="1FAD95E8">
      <w:pPr>
        <w:rPr>
          <w:rFonts w:hint="eastAsia"/>
        </w:rPr>
      </w:pPr>
      <w:r>
        <w:rPr>
          <w:rFonts w:hint="eastAsia"/>
        </w:rPr>
        <w:t>3.2.1.1 救生艇从释放装置脱离至接触水面之前的空中运动阶段，应根据抛投方式和计算精度需求选择合适的评估方法。</w:t>
      </w:r>
    </w:p>
    <w:p w14:paraId="2EEE9EAD">
      <w:pPr>
        <w:pStyle w:val="4"/>
        <w:bidi w:val="0"/>
        <w:rPr>
          <w:rFonts w:hint="eastAsia"/>
        </w:rPr>
      </w:pPr>
      <w:r>
        <w:rPr>
          <w:rFonts w:hint="eastAsia"/>
        </w:rPr>
        <w:t xml:space="preserve"> 3.2.2 简化评估方法</w:t>
      </w:r>
    </w:p>
    <w:p w14:paraId="7A092B29">
      <w:pPr>
        <w:rPr>
          <w:rFonts w:hint="eastAsia" w:eastAsiaTheme="minorEastAsia"/>
          <w:lang w:eastAsia="zh-CN"/>
        </w:rPr>
      </w:pPr>
      <w:r>
        <w:rPr>
          <w:rFonts w:hint="eastAsia"/>
        </w:rPr>
        <w:t>3.2.2.1 可采用解析方法计算空中运动阶段，计算中应考虑重力、初始释放速度、初始姿态角及空气阻力的影响，不宜简单忽略空气阻力</w:t>
      </w:r>
      <w:r>
        <w:rPr>
          <w:rFonts w:hint="eastAsia"/>
          <w:lang w:eastAsia="zh-CN"/>
        </w:rPr>
        <w:t>。</w:t>
      </w:r>
    </w:p>
    <w:p w14:paraId="458F1F52">
      <w:pPr>
        <w:rPr>
          <w:rFonts w:hint="eastAsia"/>
        </w:rPr>
      </w:pPr>
      <w:r>
        <w:rPr>
          <w:rFonts w:hint="eastAsia"/>
        </w:rPr>
        <w:t>3.2.2.2 空气阻力</w:t>
      </w:r>
      <m:oMath>
        <m:sSub>
          <m:sSubPr>
            <m:ctrlPr>
              <w:rPr>
                <w:rFonts w:hint="default" w:ascii="Cambria Math" w:hAnsi="Cambria Math" w:eastAsia="Segoe UI"/>
                <w:sz w:val="24"/>
              </w:rPr>
            </m:ctrlPr>
          </m:sSubPr>
          <m:e>
            <m:r>
              <m:rPr/>
              <w:rPr>
                <w:rFonts w:hint="default" w:ascii="Cambria Math" w:hAnsi="Cambria Math" w:eastAsia="Segoe UI"/>
                <w:sz w:val="24"/>
              </w:rPr>
              <m:t>F</m:t>
            </m:r>
            <m:ctrlPr>
              <w:rPr>
                <w:rFonts w:ascii="Cambria Math" w:hAnsi="Cambria Math" w:eastAsia="Segoe UI"/>
                <w:sz w:val="24"/>
              </w:rPr>
            </m:ctrlPr>
          </m:e>
          <m:sub>
            <m:r>
              <m:rPr/>
              <w:rPr>
                <w:rFonts w:hint="default" w:ascii="Cambria Math" w:hAnsi="Cambria Math" w:eastAsia="Segoe UI"/>
                <w:sz w:val="24"/>
              </w:rPr>
              <m:t>D</m:t>
            </m:r>
            <m:ctrlPr>
              <w:rPr>
                <w:rFonts w:ascii="Cambria Math" w:hAnsi="Cambria Math" w:eastAsia="Segoe UI"/>
                <w:sz w:val="24"/>
              </w:rPr>
            </m:ctrlPr>
          </m:sub>
        </m:sSub>
      </m:oMath>
      <w:r>
        <w:rPr>
          <w:rFonts w:hint="eastAsia"/>
        </w:rPr>
        <w:t>可按下式估算：</w:t>
      </w:r>
    </w:p>
    <w:p w14:paraId="2083625E">
      <w:pPr>
        <w:jc w:val="center"/>
        <w:rPr>
          <w:rFonts w:hint="eastAsia"/>
        </w:rPr>
      </w:pPr>
      <m:oMathPara>
        <m:oMath>
          <m:sSub>
            <m:sSubPr>
              <m:ctrlPr>
                <w:rPr>
                  <w:rFonts w:hint="default" w:ascii="Cambria Math" w:hAnsi="Cambria Math" w:eastAsia="Segoe UI"/>
                  <w:sz w:val="24"/>
                </w:rPr>
              </m:ctrlPr>
            </m:sSubPr>
            <m:e>
              <m:r>
                <m:rPr/>
                <w:rPr>
                  <w:rFonts w:hint="default" w:ascii="Cambria Math" w:hAnsi="Cambria Math" w:eastAsia="Segoe UI"/>
                  <w:sz w:val="24"/>
                </w:rPr>
                <m:t>F</m:t>
              </m:r>
              <m:ctrlPr>
                <w:rPr>
                  <w:rFonts w:ascii="Cambria Math" w:hAnsi="Cambria Math" w:eastAsia="Segoe UI"/>
                  <w:sz w:val="24"/>
                </w:rPr>
              </m:ctrlPr>
            </m:e>
            <m:sub>
              <m:r>
                <m:rPr/>
                <w:rPr>
                  <w:rFonts w:hint="default" w:ascii="Cambria Math" w:hAnsi="Cambria Math" w:eastAsia="Segoe UI"/>
                  <w:sz w:val="24"/>
                </w:rPr>
                <m:t>D</m:t>
              </m:r>
              <m:ctrlPr>
                <w:rPr>
                  <w:rFonts w:ascii="Cambria Math" w:hAnsi="Cambria Math" w:eastAsia="Segoe UI"/>
                  <w:sz w:val="24"/>
                </w:rPr>
              </m:ctrlPr>
            </m:sub>
          </m:sSub>
          <m:r>
            <m:rPr/>
            <w:rPr>
              <w:rFonts w:hint="default" w:ascii="Cambria Math" w:hAnsi="Cambria Math" w:eastAsia="Segoe UI"/>
              <w:sz w:val="24"/>
            </w:rPr>
            <m:t>=</m:t>
          </m:r>
          <m:f>
            <m:fPr>
              <m:ctrlPr>
                <w:rPr>
                  <w:rFonts w:hint="default" w:ascii="Cambria Math" w:hAnsi="Cambria Math" w:eastAsia="Segoe UI"/>
                  <w:sz w:val="24"/>
                </w:rPr>
              </m:ctrlPr>
            </m:fPr>
            <m:num>
              <m:r>
                <m:rPr/>
                <w:rPr>
                  <w:rFonts w:hint="default" w:ascii="Cambria Math" w:hAnsi="Cambria Math" w:eastAsia="Segoe UI"/>
                  <w:sz w:val="24"/>
                </w:rPr>
                <m:t>1</m:t>
              </m:r>
              <m:ctrlPr>
                <w:rPr>
                  <w:rFonts w:ascii="Cambria Math" w:hAnsi="Cambria Math" w:eastAsia="Segoe UI"/>
                  <w:sz w:val="24"/>
                </w:rPr>
              </m:ctrlPr>
            </m:num>
            <m:den>
              <m:r>
                <m:rPr/>
                <w:rPr>
                  <w:rFonts w:hint="default" w:ascii="Cambria Math" w:hAnsi="Cambria Math" w:eastAsia="Segoe UI"/>
                  <w:sz w:val="24"/>
                </w:rPr>
                <m:t>2</m:t>
              </m:r>
              <m:ctrlPr>
                <w:rPr>
                  <w:rFonts w:ascii="Cambria Math" w:hAnsi="Cambria Math" w:eastAsia="Segoe UI"/>
                  <w:sz w:val="24"/>
                </w:rPr>
              </m:ctrlPr>
            </m:den>
          </m:f>
          <m:sSub>
            <m:sSubPr>
              <m:ctrlPr>
                <w:rPr>
                  <w:rFonts w:hint="default" w:ascii="Cambria Math" w:hAnsi="Cambria Math" w:eastAsia="Segoe UI"/>
                  <w:sz w:val="24"/>
                </w:rPr>
              </m:ctrlPr>
            </m:sSubPr>
            <m:e>
              <m:r>
                <m:rPr/>
                <w:rPr>
                  <w:rFonts w:hint="default" w:ascii="Cambria Math" w:hAnsi="Cambria Math" w:eastAsia="Segoe UI"/>
                  <w:sz w:val="24"/>
                </w:rPr>
                <m:t>ρ</m:t>
              </m:r>
              <m:ctrlPr>
                <w:rPr>
                  <w:rFonts w:ascii="Cambria Math" w:hAnsi="Cambria Math" w:eastAsia="Segoe UI"/>
                  <w:sz w:val="24"/>
                </w:rPr>
              </m:ctrlPr>
            </m:e>
            <m:sub>
              <m:r>
                <m:rPr/>
                <w:rPr>
                  <w:rFonts w:hint="default" w:ascii="Cambria Math" w:hAnsi="Cambria Math" w:eastAsia="Segoe UI"/>
                  <w:sz w:val="24"/>
                </w:rPr>
                <m:t>a</m:t>
              </m:r>
              <m:ctrlPr>
                <w:rPr>
                  <w:rFonts w:ascii="Cambria Math" w:hAnsi="Cambria Math" w:eastAsia="Segoe UI"/>
                  <w:sz w:val="24"/>
                </w:rPr>
              </m:ctrlPr>
            </m:sub>
          </m:sSub>
          <m:sSub>
            <m:sSubPr>
              <m:ctrlPr>
                <w:rPr>
                  <w:rFonts w:hint="default" w:ascii="Cambria Math" w:hAnsi="Cambria Math" w:eastAsia="Segoe UI"/>
                  <w:sz w:val="24"/>
                </w:rPr>
              </m:ctrlPr>
            </m:sSubPr>
            <m:e>
              <m:r>
                <m:rPr/>
                <w:rPr>
                  <w:rFonts w:hint="default" w:ascii="Cambria Math" w:hAnsi="Cambria Math" w:eastAsia="Segoe UI"/>
                  <w:sz w:val="24"/>
                </w:rPr>
                <m:t>C</m:t>
              </m:r>
              <m:ctrlPr>
                <w:rPr>
                  <w:rFonts w:ascii="Cambria Math" w:hAnsi="Cambria Math" w:eastAsia="Segoe UI"/>
                  <w:sz w:val="24"/>
                </w:rPr>
              </m:ctrlPr>
            </m:e>
            <m:sub>
              <m:r>
                <m:rPr/>
                <w:rPr>
                  <w:rFonts w:hint="default" w:ascii="Cambria Math" w:hAnsi="Cambria Math" w:eastAsia="Segoe UI"/>
                  <w:sz w:val="24"/>
                </w:rPr>
                <m:t>D</m:t>
              </m:r>
              <m:ctrlPr>
                <w:rPr>
                  <w:rFonts w:ascii="Cambria Math" w:hAnsi="Cambria Math" w:eastAsia="Segoe UI"/>
                  <w:sz w:val="24"/>
                </w:rPr>
              </m:ctrlPr>
            </m:sub>
          </m:sSub>
          <m:r>
            <m:rPr/>
            <w:rPr>
              <w:rFonts w:hint="default" w:ascii="Cambria Math" w:hAnsi="Cambria Math" w:eastAsia="Segoe UI"/>
              <w:sz w:val="24"/>
            </w:rPr>
            <m:t>A</m:t>
          </m:r>
          <m:sSup>
            <m:sSupPr>
              <m:ctrlPr>
                <w:rPr>
                  <w:rFonts w:hint="default" w:ascii="Cambria Math" w:hAnsi="Cambria Math" w:eastAsia="Segoe UI"/>
                  <w:sz w:val="24"/>
                </w:rPr>
              </m:ctrlPr>
            </m:sSupPr>
            <m:e>
              <m:r>
                <m:rPr/>
                <w:rPr>
                  <w:rFonts w:hint="default" w:ascii="Cambria Math" w:hAnsi="Cambria Math" w:eastAsia="Segoe UI"/>
                  <w:sz w:val="24"/>
                </w:rPr>
                <m:t>V</m:t>
              </m:r>
              <m:ctrlPr>
                <w:rPr>
                  <w:rFonts w:ascii="Cambria Math" w:hAnsi="Cambria Math" w:eastAsia="Segoe UI"/>
                  <w:sz w:val="24"/>
                </w:rPr>
              </m:ctrlPr>
            </m:e>
            <m:sup>
              <m:r>
                <m:rPr/>
                <w:rPr>
                  <w:rFonts w:hint="default" w:ascii="Cambria Math" w:hAnsi="Cambria Math" w:eastAsia="Segoe UI"/>
                  <w:sz w:val="24"/>
                </w:rPr>
                <m:t>2</m:t>
              </m:r>
              <m:ctrlPr>
                <w:rPr>
                  <w:rFonts w:ascii="Cambria Math" w:hAnsi="Cambria Math" w:eastAsia="Segoe UI"/>
                  <w:sz w:val="24"/>
                </w:rPr>
              </m:ctrlPr>
            </m:sup>
          </m:sSup>
        </m:oMath>
      </m:oMathPara>
    </w:p>
    <w:p w14:paraId="2722E09E">
      <w:pPr>
        <w:rPr>
          <w:rFonts w:hint="eastAsia"/>
        </w:rPr>
      </w:pPr>
      <w:r>
        <w:rPr>
          <w:rFonts w:hint="eastAsia"/>
        </w:rPr>
        <w:t>式中：</w:t>
      </w:r>
      <m:oMath>
        <m:sSub>
          <m:sSubPr>
            <m:ctrlPr>
              <w:rPr>
                <w:rFonts w:hint="default" w:ascii="Cambria Math" w:hAnsi="Cambria Math" w:eastAsia="Segoe UI"/>
                <w:sz w:val="24"/>
              </w:rPr>
            </m:ctrlPr>
          </m:sSubPr>
          <m:e>
            <m:r>
              <m:rPr/>
              <w:rPr>
                <w:rFonts w:hint="default" w:ascii="Cambria Math" w:hAnsi="Cambria Math" w:eastAsia="Segoe UI"/>
                <w:sz w:val="24"/>
              </w:rPr>
              <m:t>ρ</m:t>
            </m:r>
            <m:ctrlPr>
              <w:rPr>
                <w:rFonts w:ascii="Cambria Math" w:hAnsi="Cambria Math" w:eastAsia="Segoe UI"/>
                <w:sz w:val="24"/>
              </w:rPr>
            </m:ctrlPr>
          </m:e>
          <m:sub>
            <m:r>
              <m:rPr/>
              <w:rPr>
                <w:rFonts w:hint="default" w:ascii="Cambria Math" w:hAnsi="Cambria Math" w:eastAsia="Segoe UI"/>
                <w:sz w:val="24"/>
              </w:rPr>
              <m:t>a</m:t>
            </m:r>
            <m:ctrlPr>
              <w:rPr>
                <w:rFonts w:ascii="Cambria Math" w:hAnsi="Cambria Math" w:eastAsia="Segoe UI"/>
                <w:sz w:val="24"/>
              </w:rPr>
            </m:ctrlPr>
          </m:sub>
        </m:sSub>
      </m:oMath>
      <w:r>
        <w:rPr>
          <w:rFonts w:hint="eastAsia"/>
        </w:rPr>
        <w:t>——空气密度，可取1.225 kg/m³；</w:t>
      </w:r>
    </w:p>
    <w:p w14:paraId="0C97E2FF">
      <w:pPr>
        <w:ind w:firstLine="720" w:firstLineChars="300"/>
        <w:rPr>
          <w:rFonts w:hint="eastAsia"/>
        </w:rPr>
      </w:pPr>
      <m:oMath>
        <m:sSub>
          <m:sSubPr>
            <m:ctrlPr>
              <w:rPr>
                <w:rFonts w:hint="default" w:ascii="Cambria Math" w:hAnsi="Cambria Math" w:eastAsia="Segoe UI"/>
                <w:sz w:val="24"/>
              </w:rPr>
            </m:ctrlPr>
          </m:sSubPr>
          <m:e>
            <m:r>
              <m:rPr/>
              <w:rPr>
                <w:rFonts w:hint="default" w:ascii="Cambria Math" w:hAnsi="Cambria Math" w:eastAsia="Segoe UI"/>
                <w:sz w:val="24"/>
              </w:rPr>
              <m:t>C</m:t>
            </m:r>
            <m:ctrlPr>
              <w:rPr>
                <w:rFonts w:ascii="Cambria Math" w:hAnsi="Cambria Math" w:eastAsia="Segoe UI"/>
                <w:sz w:val="24"/>
              </w:rPr>
            </m:ctrlPr>
          </m:e>
          <m:sub>
            <m:r>
              <m:rPr/>
              <w:rPr>
                <w:rFonts w:hint="default" w:ascii="Cambria Math" w:hAnsi="Cambria Math" w:eastAsia="Segoe UI"/>
                <w:sz w:val="24"/>
              </w:rPr>
              <m:t>D</m:t>
            </m:r>
            <m:ctrlPr>
              <w:rPr>
                <w:rFonts w:ascii="Cambria Math" w:hAnsi="Cambria Math" w:eastAsia="Segoe UI"/>
                <w:sz w:val="24"/>
              </w:rPr>
            </m:ctrlPr>
          </m:sub>
        </m:sSub>
      </m:oMath>
      <w:r>
        <w:rPr>
          <w:rFonts w:hint="eastAsia"/>
        </w:rPr>
        <w:t>——救生艇空气阻力系数，宜通过风洞试验或CFD计算确定；在缺乏数据时，可保守取为1.0；</w:t>
      </w:r>
    </w:p>
    <w:p w14:paraId="198E51F4">
      <w:pPr>
        <w:ind w:firstLine="720" w:firstLineChars="300"/>
        <w:rPr>
          <w:rFonts w:hint="eastAsia"/>
        </w:rPr>
      </w:pPr>
      <m:oMath>
        <m:r>
          <m:rPr/>
          <w:rPr>
            <w:rFonts w:hint="default" w:ascii="Cambria Math" w:hAnsi="Cambria Math" w:eastAsia="Segoe UI"/>
            <w:sz w:val="24"/>
          </w:rPr>
          <m:t>A</m:t>
        </m:r>
      </m:oMath>
      <w:r>
        <w:rPr>
          <w:rFonts w:hint="eastAsia"/>
        </w:rPr>
        <w:t>——救生艇迎风面积（投影面积），m²，应根据救生艇下落过程中的姿态变化确定；</w:t>
      </w:r>
    </w:p>
    <w:p w14:paraId="77A3E00C">
      <w:pPr>
        <w:ind w:firstLine="720" w:firstLineChars="300"/>
        <w:rPr>
          <w:rFonts w:hint="eastAsia"/>
        </w:rPr>
      </w:pPr>
      <m:oMath>
        <m:r>
          <m:rPr/>
          <w:rPr>
            <w:rFonts w:hint="default" w:ascii="Cambria Math" w:hAnsi="Cambria Math" w:eastAsia="Segoe UI"/>
            <w:sz w:val="24"/>
          </w:rPr>
          <m:t>V</m:t>
        </m:r>
      </m:oMath>
      <w:r>
        <w:rPr>
          <w:rFonts w:hint="eastAsia"/>
        </w:rPr>
        <w:t>——救生艇相对空气的速度，m/s。</w:t>
      </w:r>
    </w:p>
    <w:p w14:paraId="21DAEE5D">
      <w:pPr>
        <w:rPr>
          <w:rFonts w:hint="eastAsia"/>
        </w:rPr>
      </w:pPr>
      <w:r>
        <w:rPr>
          <w:rFonts w:hint="eastAsia"/>
        </w:rPr>
        <w:t>3.2.2.3 当抛投高度较低（如小于5m）或空气阻力影响可忽略时，经论证后方可忽略空气阻力，并应在评估报告中说明理由。</w:t>
      </w:r>
    </w:p>
    <w:p w14:paraId="0314B930">
      <w:pPr>
        <w:pStyle w:val="4"/>
        <w:bidi w:val="0"/>
        <w:rPr>
          <w:rFonts w:hint="eastAsia"/>
        </w:rPr>
      </w:pPr>
      <w:r>
        <w:rPr>
          <w:rFonts w:hint="eastAsia"/>
        </w:rPr>
        <w:t xml:space="preserve"> 3.2.3 精细化评估方法</w:t>
      </w:r>
    </w:p>
    <w:p w14:paraId="3DA6EA48">
      <w:pPr>
        <w:rPr>
          <w:rFonts w:hint="eastAsia"/>
        </w:rPr>
      </w:pPr>
      <w:r>
        <w:rPr>
          <w:rFonts w:hint="eastAsia"/>
        </w:rPr>
        <w:t>3.2.3.1 可在CFD求解器中开启刚体运动求解功能，考虑重力和空气阻力影响，计算救生艇从释放到接触水面期间的运动轨迹和姿态变化。</w:t>
      </w:r>
    </w:p>
    <w:p w14:paraId="27477E7E">
      <w:pPr>
        <w:rPr>
          <w:rFonts w:hint="eastAsia"/>
        </w:rPr>
      </w:pPr>
      <w:r>
        <w:rPr>
          <w:rFonts w:hint="eastAsia"/>
        </w:rPr>
        <w:t>3.2.3.2 精细化评估方法的计算结果应作为入水砰击阶段仿真的初始条件。</w:t>
      </w:r>
    </w:p>
    <w:p w14:paraId="50ECE7FA">
      <w:pPr>
        <w:rPr>
          <w:rFonts w:hint="eastAsia"/>
        </w:rPr>
      </w:pPr>
      <w:r>
        <w:rPr>
          <w:rFonts w:hint="eastAsia"/>
        </w:rPr>
        <w:t>3.2.3.3 评估报告应详细说明空中运动阶段所采用的方法及相关参数的取值。</w:t>
      </w:r>
    </w:p>
    <w:p w14:paraId="20C4A206">
      <w:pPr>
        <w:pStyle w:val="3"/>
        <w:bidi w:val="0"/>
        <w:rPr>
          <w:rFonts w:hint="eastAsia"/>
        </w:rPr>
      </w:pPr>
      <w:r>
        <w:rPr>
          <w:rFonts w:hint="eastAsia"/>
        </w:rPr>
        <w:t xml:space="preserve"> </w:t>
      </w:r>
      <w:bookmarkStart w:id="16" w:name="_Toc761"/>
      <w:r>
        <w:rPr>
          <w:rFonts w:hint="eastAsia"/>
        </w:rPr>
        <w:t>第3节 入水砰击阶段评估</w:t>
      </w:r>
      <w:bookmarkEnd w:id="16"/>
    </w:p>
    <w:p w14:paraId="7EE9E9B7">
      <w:pPr>
        <w:pStyle w:val="4"/>
        <w:bidi w:val="0"/>
        <w:rPr>
          <w:rFonts w:hint="eastAsia"/>
        </w:rPr>
      </w:pPr>
      <w:r>
        <w:rPr>
          <w:rFonts w:hint="eastAsia"/>
        </w:rPr>
        <w:t xml:space="preserve"> 3.3.1 一般要求</w:t>
      </w:r>
    </w:p>
    <w:p w14:paraId="0B293FAD">
      <w:pPr>
        <w:rPr>
          <w:rFonts w:hint="eastAsia"/>
        </w:rPr>
      </w:pPr>
      <w:r>
        <w:rPr>
          <w:rFonts w:hint="eastAsia"/>
        </w:rPr>
        <w:t>3.3.1.1 入水砰击阶段评估应以空中运动阶段获得的入水瞬间速度矢量及姿态角作为初始条件。</w:t>
      </w:r>
    </w:p>
    <w:p w14:paraId="5B2D419D">
      <w:pPr>
        <w:rPr>
          <w:rFonts w:hint="eastAsia"/>
        </w:rPr>
      </w:pPr>
      <w:r>
        <w:rPr>
          <w:rFonts w:hint="eastAsia"/>
        </w:rPr>
        <w:t>3.3.1.2 入水砰击阶段评估应采用VOF两相流模型和重叠网格技术。</w:t>
      </w:r>
    </w:p>
    <w:p w14:paraId="1D93EBF8">
      <w:pPr>
        <w:rPr>
          <w:rFonts w:hint="eastAsia"/>
        </w:rPr>
      </w:pPr>
      <w:r>
        <w:rPr>
          <w:rFonts w:hint="eastAsia"/>
        </w:rPr>
        <w:t>3.3.1.3 评估内容应至少包括砰击压力分布、六自由度运动响应及冲击加速度。</w:t>
      </w:r>
    </w:p>
    <w:p w14:paraId="15E33971">
      <w:pPr>
        <w:pStyle w:val="4"/>
        <w:bidi w:val="0"/>
        <w:rPr>
          <w:rFonts w:hint="eastAsia"/>
        </w:rPr>
      </w:pPr>
      <w:r>
        <w:rPr>
          <w:rFonts w:hint="eastAsia"/>
        </w:rPr>
        <w:t xml:space="preserve"> 3.3.2 初始条件设置</w:t>
      </w:r>
    </w:p>
    <w:p w14:paraId="16C35A3D">
      <w:pPr>
        <w:rPr>
          <w:rFonts w:hint="eastAsia"/>
        </w:rPr>
      </w:pPr>
      <w:r>
        <w:rPr>
          <w:rFonts w:hint="eastAsia"/>
        </w:rPr>
        <w:t>3.3.2.1 救生艇入水瞬间的初始位置应设置为艇体底部刚好接触静水面。</w:t>
      </w:r>
    </w:p>
    <w:p w14:paraId="2B47514D">
      <w:pPr>
        <w:rPr>
          <w:rFonts w:hint="eastAsia"/>
        </w:rPr>
      </w:pPr>
      <w:r>
        <w:rPr>
          <w:rFonts w:hint="eastAsia"/>
        </w:rPr>
        <w:t>3.3.2.2 初始速度矢量应根据空中运动阶段评估结果设定，包括垂向速度、水平速度和角速度。</w:t>
      </w:r>
    </w:p>
    <w:p w14:paraId="7D3F0AF7">
      <w:pPr>
        <w:rPr>
          <w:rFonts w:hint="eastAsia"/>
        </w:rPr>
      </w:pPr>
      <w:r>
        <w:rPr>
          <w:rFonts w:hint="eastAsia"/>
        </w:rPr>
        <w:t>3.3.2.3 初始姿态角应根据空中运动阶段评估结果设定，包括纵倾角和横倾角。</w:t>
      </w:r>
    </w:p>
    <w:p w14:paraId="01AF6377">
      <w:pPr>
        <w:pStyle w:val="4"/>
        <w:bidi w:val="0"/>
        <w:rPr>
          <w:rFonts w:hint="eastAsia"/>
        </w:rPr>
      </w:pPr>
      <w:r>
        <w:rPr>
          <w:rFonts w:hint="eastAsia"/>
        </w:rPr>
        <w:t xml:space="preserve"> 3.3.3 仿真时长</w:t>
      </w:r>
    </w:p>
    <w:p w14:paraId="01F396C5">
      <w:pPr>
        <w:rPr>
          <w:rFonts w:hint="eastAsia"/>
        </w:rPr>
      </w:pPr>
      <w:r>
        <w:rPr>
          <w:rFonts w:hint="eastAsia"/>
        </w:rPr>
        <w:t>3.3.3.1 仿真总时长应足以覆盖救生艇从接触水面至完全入水并趋于稳定的全过程。</w:t>
      </w:r>
    </w:p>
    <w:p w14:paraId="16B6F199">
      <w:pPr>
        <w:rPr>
          <w:rFonts w:hint="eastAsia"/>
        </w:rPr>
      </w:pPr>
      <w:r>
        <w:rPr>
          <w:rFonts w:hint="eastAsia"/>
        </w:rPr>
        <w:t>3.3.3.2 一般可取为3倍入水砰击特征时间，具体时长应根据艇体运动趋于稳定的情况确定。</w:t>
      </w:r>
    </w:p>
    <w:p w14:paraId="113AE351">
      <w:pPr>
        <w:pStyle w:val="3"/>
        <w:bidi w:val="0"/>
        <w:rPr>
          <w:rFonts w:hint="eastAsia"/>
        </w:rPr>
      </w:pPr>
      <w:r>
        <w:rPr>
          <w:rFonts w:hint="eastAsia"/>
        </w:rPr>
        <w:t xml:space="preserve"> </w:t>
      </w:r>
      <w:bookmarkStart w:id="17" w:name="_Toc17137"/>
      <w:r>
        <w:rPr>
          <w:rFonts w:hint="eastAsia"/>
        </w:rPr>
        <w:t>第4节 计算工况</w:t>
      </w:r>
      <w:bookmarkEnd w:id="17"/>
    </w:p>
    <w:p w14:paraId="57C9028E">
      <w:pPr>
        <w:pStyle w:val="4"/>
        <w:bidi w:val="0"/>
        <w:rPr>
          <w:rFonts w:hint="default" w:eastAsia="黑体"/>
          <w:lang w:val="en-US" w:eastAsia="zh-CN"/>
        </w:rPr>
      </w:pPr>
      <w:r>
        <w:rPr>
          <w:rFonts w:hint="eastAsia"/>
        </w:rPr>
        <w:t xml:space="preserve"> 3.4.1 </w:t>
      </w:r>
      <w:r>
        <w:rPr>
          <w:rFonts w:hint="eastAsia"/>
          <w:lang w:val="en-US" w:eastAsia="zh-CN"/>
        </w:rPr>
        <w:t>装载工况</w:t>
      </w:r>
    </w:p>
    <w:p w14:paraId="587374DA">
      <w:pPr>
        <w:rPr>
          <w:rFonts w:hint="eastAsia"/>
        </w:rPr>
      </w:pPr>
      <w:r>
        <w:rPr>
          <w:rFonts w:hint="eastAsia"/>
        </w:rPr>
        <w:t>3.4.1.2 CFD仿真评估应</w:t>
      </w:r>
      <w:r>
        <w:rPr>
          <w:rFonts w:hint="eastAsia"/>
          <w:lang w:val="en-US" w:eastAsia="zh-CN"/>
        </w:rPr>
        <w:t>至少</w:t>
      </w:r>
      <w:r>
        <w:rPr>
          <w:rFonts w:hint="eastAsia"/>
        </w:rPr>
        <w:t>覆盖以下</w:t>
      </w:r>
      <w:r>
        <w:rPr>
          <w:rFonts w:hint="eastAsia"/>
          <w:lang w:val="en-US" w:eastAsia="zh-CN"/>
        </w:rPr>
        <w:t>4</w:t>
      </w:r>
      <w:r>
        <w:rPr>
          <w:rFonts w:hint="eastAsia"/>
        </w:rPr>
        <w:t>种装载工况，以对应LSA规则第4.7.3.1条及MSC.81(70)第6.5.1条的物理试验要求：</w:t>
      </w:r>
    </w:p>
    <w:p w14:paraId="69B36062">
      <w:pPr>
        <w:rPr>
          <w:rFonts w:hint="eastAsia"/>
        </w:rPr>
      </w:pPr>
      <w:r>
        <w:rPr>
          <w:rFonts w:hint="eastAsia"/>
        </w:rPr>
        <w:t>（1）工况A——满员工况：救生艇载足全部核定乘员及属具，乘员质量按MSC.81(70)第6.1.1条执行（货船救生艇按82.5kg/人，客船救生艇按75kg/人），质量分布应模拟乘员正常就座状态；</w:t>
      </w:r>
    </w:p>
    <w:p w14:paraId="415DFDF4">
      <w:pPr>
        <w:rPr>
          <w:rFonts w:hint="eastAsia"/>
        </w:rPr>
      </w:pPr>
      <w:r>
        <w:rPr>
          <w:rFonts w:hint="eastAsia"/>
        </w:rPr>
        <w:t>（2）工况B——重心最前工况：乘员分布使救生艇重心处于最前方位置，模拟极端装载状态；</w:t>
      </w:r>
    </w:p>
    <w:p w14:paraId="14BFE7E8">
      <w:pPr>
        <w:rPr>
          <w:rFonts w:hint="eastAsia"/>
        </w:rPr>
      </w:pPr>
      <w:r>
        <w:rPr>
          <w:rFonts w:hint="eastAsia"/>
        </w:rPr>
        <w:t>（3）工况C——重心最后工况：乘员分布使救生艇重心处于最后方位置，模拟极端装载状态；</w:t>
      </w:r>
    </w:p>
    <w:p w14:paraId="6A0BB6E2">
      <w:pPr>
        <w:rPr>
          <w:rFonts w:hint="eastAsia"/>
        </w:rPr>
      </w:pPr>
      <w:r>
        <w:rPr>
          <w:rFonts w:hint="eastAsia"/>
        </w:rPr>
        <w:t>（4）工况D——仅载操作船员工况：救生艇仅搭载最低数量操作船员，用于评估轻载状态下的动态响应。</w:t>
      </w:r>
    </w:p>
    <w:p w14:paraId="2758351B">
      <w:pPr>
        <w:pStyle w:val="4"/>
        <w:bidi w:val="0"/>
        <w:rPr>
          <w:rFonts w:hint="eastAsia"/>
          <w:lang w:val="en-US" w:eastAsia="zh-CN"/>
        </w:rPr>
      </w:pPr>
      <w:r>
        <w:rPr>
          <w:rFonts w:hint="eastAsia"/>
          <w:lang w:val="en-US" w:eastAsia="zh-CN"/>
        </w:rPr>
        <w:t xml:space="preserve"> 3.4.2 初始姿态</w:t>
      </w:r>
    </w:p>
    <w:p w14:paraId="395DEBAE">
      <w:pPr>
        <w:rPr>
          <w:rFonts w:hint="eastAsia"/>
        </w:rPr>
      </w:pPr>
      <w:r>
        <w:rPr>
          <w:rFonts w:hint="eastAsia"/>
        </w:rPr>
        <w:t>3.4.2.1 评估应考虑船舶在不利纵倾和横倾状态下的抛投性能，以对应LSA规则第4.7.3.1条的要求：</w:t>
      </w:r>
    </w:p>
    <w:p w14:paraId="6D9B590F">
      <w:pPr>
        <w:rPr>
          <w:rFonts w:hint="eastAsia"/>
        </w:rPr>
      </w:pPr>
      <w:r>
        <w:rPr>
          <w:rFonts w:hint="eastAsia"/>
        </w:rPr>
        <w:t>（1）纵倾角应覆盖10°（首倾和尾倾）；</w:t>
      </w:r>
    </w:p>
    <w:p w14:paraId="6C063067">
      <w:pPr>
        <w:rPr>
          <w:rFonts w:hint="eastAsia"/>
        </w:rPr>
      </w:pPr>
      <w:r>
        <w:rPr>
          <w:rFonts w:hint="eastAsia"/>
        </w:rPr>
        <w:t>（2）横倾角应覆盖20°（左舷和右舷）。</w:t>
      </w:r>
    </w:p>
    <w:p w14:paraId="3E79C6CA">
      <w:pPr>
        <w:rPr>
          <w:rFonts w:hint="eastAsia"/>
        </w:rPr>
      </w:pPr>
      <w:r>
        <w:rPr>
          <w:rFonts w:hint="eastAsia"/>
        </w:rPr>
        <w:t xml:space="preserve">3.4.2.2 </w:t>
      </w:r>
      <w:r>
        <w:rPr>
          <w:rFonts w:hint="eastAsia"/>
          <w:lang w:val="en-US" w:eastAsia="zh-CN"/>
        </w:rPr>
        <w:t>如有其他要求的初始姿态评估要求，也应考虑</w:t>
      </w:r>
      <w:r>
        <w:rPr>
          <w:rFonts w:hint="eastAsia"/>
        </w:rPr>
        <w:t>。</w:t>
      </w:r>
    </w:p>
    <w:p w14:paraId="27074C3F">
      <w:pPr>
        <w:pStyle w:val="4"/>
        <w:bidi w:val="0"/>
        <w:rPr>
          <w:rFonts w:hint="eastAsia"/>
          <w:lang w:val="en-US" w:eastAsia="zh-CN"/>
        </w:rPr>
      </w:pPr>
      <w:r>
        <w:rPr>
          <w:rFonts w:hint="default"/>
          <w:lang w:val="en-US" w:eastAsia="zh-CN"/>
        </w:rPr>
        <w:t xml:space="preserve"> 3.4.3 抛投高度</w:t>
      </w:r>
    </w:p>
    <w:p w14:paraId="384A4E42">
      <w:pPr>
        <w:rPr>
          <w:rFonts w:hint="default"/>
          <w:lang w:val="en-US" w:eastAsia="zh-CN"/>
        </w:rPr>
      </w:pPr>
      <w:r>
        <w:rPr>
          <w:rFonts w:hint="default"/>
          <w:lang w:val="en-US" w:eastAsia="zh-CN"/>
        </w:rPr>
        <w:t>3.4.3.1 评估应覆盖核准高度（自由降落校准高度）下的抛投工况，见LSA规则第1.1.4条。</w:t>
      </w:r>
    </w:p>
    <w:p w14:paraId="6C5A5FE7">
      <w:pPr>
        <w:rPr>
          <w:rFonts w:hint="default"/>
          <w:lang w:val="en-US" w:eastAsia="zh-CN"/>
        </w:rPr>
      </w:pPr>
      <w:r>
        <w:rPr>
          <w:rFonts w:hint="default"/>
          <w:lang w:val="en-US" w:eastAsia="zh-CN"/>
        </w:rPr>
        <w:t>3.4.3.2 结构强度评估工况应覆盖从1.3倍核准高度抛投的超载工况，以对应MSC.81(70)第6.3.7条的超载试验要求。</w:t>
      </w:r>
    </w:p>
    <w:p w14:paraId="5386F9B6">
      <w:pPr>
        <w:rPr>
          <w:rFonts w:hint="eastAsia"/>
        </w:rPr>
      </w:pPr>
      <w:r>
        <w:rPr>
          <w:rFonts w:hint="eastAsia"/>
        </w:rPr>
        <w:t>3.4.2.3 初始速度应根据释放装置的释放方式确定。</w:t>
      </w:r>
    </w:p>
    <w:p w14:paraId="6ECA90C4">
      <w:pPr>
        <w:pStyle w:val="4"/>
        <w:bidi w:val="0"/>
        <w:rPr>
          <w:rFonts w:hint="default"/>
          <w:lang w:val="en-US" w:eastAsia="zh-CN"/>
        </w:rPr>
      </w:pPr>
      <w:r>
        <w:rPr>
          <w:rFonts w:hint="default"/>
          <w:lang w:val="en-US" w:eastAsia="zh-CN"/>
        </w:rPr>
        <w:t xml:space="preserve"> 3.4.4 工况组合原则</w:t>
      </w:r>
    </w:p>
    <w:p w14:paraId="218EE109">
      <w:pPr>
        <w:rPr>
          <w:rFonts w:hint="default"/>
          <w:lang w:val="en-US" w:eastAsia="zh-CN"/>
        </w:rPr>
      </w:pPr>
      <w:r>
        <w:rPr>
          <w:rFonts w:hint="default"/>
          <w:lang w:val="en-US" w:eastAsia="zh-CN"/>
        </w:rPr>
        <w:t>3.4.4.1 计算工况应覆盖装载工况（4种）、</w:t>
      </w:r>
      <w:r>
        <w:rPr>
          <w:rFonts w:hint="eastAsia"/>
          <w:lang w:val="en-US" w:eastAsia="zh-CN"/>
        </w:rPr>
        <w:t>初始姿态</w:t>
      </w:r>
      <w:r>
        <w:rPr>
          <w:rFonts w:hint="default"/>
          <w:lang w:val="en-US" w:eastAsia="zh-CN"/>
        </w:rPr>
        <w:t>和抛投高度的主要组合。可根据评估目的和船型特点进行合理简化，但应在评估报告中说明简化依据。</w:t>
      </w:r>
    </w:p>
    <w:p w14:paraId="2809FEC1">
      <w:pPr>
        <w:pStyle w:val="4"/>
        <w:bidi w:val="0"/>
        <w:rPr>
          <w:rFonts w:hint="eastAsia"/>
        </w:rPr>
      </w:pPr>
      <w:r>
        <w:rPr>
          <w:rFonts w:hint="eastAsia"/>
        </w:rPr>
        <w:t xml:space="preserve"> 3.4.3 艇体参数</w:t>
      </w:r>
    </w:p>
    <w:p w14:paraId="722F26A1">
      <w:pPr>
        <w:rPr>
          <w:rFonts w:hint="eastAsia"/>
        </w:rPr>
      </w:pPr>
      <w:r>
        <w:rPr>
          <w:rFonts w:hint="eastAsia"/>
        </w:rPr>
        <w:t>3.4.3.1 计算工况应覆盖救生艇的典型装载工况，包括轻载工况和满载工况。</w:t>
      </w:r>
    </w:p>
    <w:p w14:paraId="2CFD2644">
      <w:pPr>
        <w:rPr>
          <w:rFonts w:hint="eastAsia"/>
        </w:rPr>
      </w:pPr>
      <w:r>
        <w:rPr>
          <w:rFonts w:hint="eastAsia"/>
        </w:rPr>
        <w:t>3.4.3.2 不同装载工况下的质量、惯性矩和重心位置应依据设计数据确定。</w:t>
      </w:r>
    </w:p>
    <w:p w14:paraId="2875E0FF">
      <w:pPr>
        <w:rPr>
          <w:rFonts w:hint="eastAsia"/>
        </w:rPr>
      </w:pPr>
      <w:r>
        <w:rPr>
          <w:rFonts w:hint="eastAsia"/>
        </w:rPr>
        <w:br w:type="page"/>
      </w:r>
    </w:p>
    <w:p w14:paraId="24DC095A">
      <w:pPr>
        <w:pStyle w:val="2"/>
        <w:bidi w:val="0"/>
        <w:rPr>
          <w:rFonts w:hint="eastAsia"/>
        </w:rPr>
      </w:pPr>
      <w:r>
        <w:rPr>
          <w:rFonts w:hint="eastAsia"/>
        </w:rPr>
        <w:t xml:space="preserve"> </w:t>
      </w:r>
      <w:bookmarkStart w:id="18" w:name="_Toc28469"/>
      <w:r>
        <w:rPr>
          <w:rFonts w:hint="eastAsia"/>
        </w:rPr>
        <w:t>第4章 验证与确认</w:t>
      </w:r>
      <w:bookmarkEnd w:id="18"/>
    </w:p>
    <w:p w14:paraId="5F7DAF1D">
      <w:pPr>
        <w:pStyle w:val="3"/>
        <w:bidi w:val="0"/>
        <w:rPr>
          <w:rFonts w:hint="eastAsia"/>
        </w:rPr>
      </w:pPr>
      <w:r>
        <w:rPr>
          <w:rFonts w:hint="eastAsia"/>
        </w:rPr>
        <w:t xml:space="preserve"> </w:t>
      </w:r>
      <w:bookmarkStart w:id="19" w:name="_Toc24017"/>
      <w:r>
        <w:rPr>
          <w:rFonts w:hint="eastAsia"/>
        </w:rPr>
        <w:t>第1节 一般规定</w:t>
      </w:r>
      <w:bookmarkEnd w:id="19"/>
    </w:p>
    <w:p w14:paraId="3584227F">
      <w:pPr>
        <w:pStyle w:val="4"/>
        <w:bidi w:val="0"/>
        <w:rPr>
          <w:rFonts w:hint="eastAsia"/>
        </w:rPr>
      </w:pPr>
      <w:r>
        <w:rPr>
          <w:rFonts w:hint="eastAsia"/>
        </w:rPr>
        <w:t xml:space="preserve"> 4.1.1 一般要求</w:t>
      </w:r>
    </w:p>
    <w:p w14:paraId="74252AE7">
      <w:pPr>
        <w:rPr>
          <w:rFonts w:hint="eastAsia"/>
        </w:rPr>
      </w:pPr>
      <w:r>
        <w:rPr>
          <w:rFonts w:hint="eastAsia"/>
        </w:rPr>
        <w:t>4.1.1.1 采用CFD方法开展救生艇抛投试验数字化评估时，应对数值方法的有效性进行验证。</w:t>
      </w:r>
    </w:p>
    <w:p w14:paraId="661A76CA">
      <w:pPr>
        <w:rPr>
          <w:rFonts w:hint="eastAsia"/>
        </w:rPr>
      </w:pPr>
      <w:r>
        <w:rPr>
          <w:rFonts w:hint="eastAsia"/>
        </w:rPr>
        <w:t xml:space="preserve">4.1.1.2 </w:t>
      </w:r>
      <w:r>
        <w:rPr>
          <w:rFonts w:hint="eastAsia"/>
          <w:lang w:val="en-US" w:eastAsia="zh-CN"/>
        </w:rPr>
        <w:t>如缺少</w:t>
      </w:r>
      <w:r>
        <w:rPr>
          <w:rFonts w:hint="eastAsia"/>
        </w:rPr>
        <w:t>救生艇全尺度抛投试验及缩比模型试验数据，验证工作</w:t>
      </w:r>
      <w:r>
        <w:rPr>
          <w:rFonts w:hint="eastAsia"/>
          <w:lang w:val="en-US" w:eastAsia="zh-CN"/>
        </w:rPr>
        <w:t>可</w:t>
      </w:r>
      <w:r>
        <w:rPr>
          <w:rFonts w:hint="eastAsia"/>
        </w:rPr>
        <w:t>基于基准标模验证和网格与时间步收敛性分析开展。</w:t>
      </w:r>
    </w:p>
    <w:p w14:paraId="5268300D">
      <w:pPr>
        <w:pStyle w:val="3"/>
        <w:bidi w:val="0"/>
        <w:rPr>
          <w:rFonts w:hint="eastAsia"/>
        </w:rPr>
      </w:pPr>
      <w:r>
        <w:rPr>
          <w:rFonts w:hint="eastAsia"/>
        </w:rPr>
        <w:t xml:space="preserve"> </w:t>
      </w:r>
      <w:bookmarkStart w:id="20" w:name="_Toc20469"/>
      <w:r>
        <w:rPr>
          <w:rFonts w:hint="eastAsia"/>
        </w:rPr>
        <w:t>第2节 基准标模验证</w:t>
      </w:r>
      <w:bookmarkEnd w:id="20"/>
    </w:p>
    <w:p w14:paraId="06529576">
      <w:pPr>
        <w:pStyle w:val="4"/>
        <w:bidi w:val="0"/>
        <w:rPr>
          <w:rFonts w:hint="eastAsia"/>
        </w:rPr>
      </w:pPr>
      <w:r>
        <w:rPr>
          <w:rFonts w:hint="eastAsia"/>
        </w:rPr>
        <w:t xml:space="preserve"> 4.2.1 一般要求</w:t>
      </w:r>
    </w:p>
    <w:p w14:paraId="28E16941">
      <w:pPr>
        <w:rPr>
          <w:rFonts w:hint="eastAsia"/>
        </w:rPr>
      </w:pPr>
      <w:r>
        <w:rPr>
          <w:rFonts w:hint="eastAsia"/>
        </w:rPr>
        <w:t>4.2.1.1 应采用公开发表的经典入水标模试验数据对CFD方法的准确性进行验证。基准标模验证的目的在于确认求解器设置、湍流模型、VOF方法和重叠网格技术对入水砰击问题的模拟能力。</w:t>
      </w:r>
    </w:p>
    <w:p w14:paraId="54D0B85F">
      <w:pPr>
        <w:rPr>
          <w:rFonts w:hint="eastAsia"/>
        </w:rPr>
      </w:pPr>
      <w:r>
        <w:rPr>
          <w:rFonts w:hint="eastAsia"/>
        </w:rPr>
        <w:t>4.2.1.2 基准标模验证应选用与救生艇入水砰击具有相似物理特征的简化几何体。</w:t>
      </w:r>
    </w:p>
    <w:p w14:paraId="698CE09B">
      <w:pPr>
        <w:pStyle w:val="4"/>
        <w:bidi w:val="0"/>
        <w:rPr>
          <w:rFonts w:hint="eastAsia"/>
        </w:rPr>
      </w:pPr>
      <w:r>
        <w:rPr>
          <w:rFonts w:hint="eastAsia"/>
        </w:rPr>
        <w:t xml:space="preserve"> 4.2.2 推荐验证算例</w:t>
      </w:r>
    </w:p>
    <w:p w14:paraId="272EA7A8">
      <w:pPr>
        <w:rPr>
          <w:rFonts w:hint="eastAsia"/>
        </w:rPr>
      </w:pPr>
      <w:r>
        <w:rPr>
          <w:rFonts w:hint="eastAsia"/>
        </w:rPr>
        <w:t>4.2.2.1 推荐采用二维对称楔形体入水作为基准验证算例。楔形体入水试验数据较为丰富，其砰击压力分布和运动响应特征与救生艇入水具有相似的物理机制。</w:t>
      </w:r>
    </w:p>
    <w:p w14:paraId="4565ED4E">
      <w:pPr>
        <w:rPr>
          <w:rFonts w:hint="eastAsia"/>
        </w:rPr>
      </w:pPr>
      <w:r>
        <w:rPr>
          <w:rFonts w:hint="eastAsia"/>
        </w:rPr>
        <w:t>4.2.2.2 楔形体验证算例的关键参数应包括：</w:t>
      </w:r>
    </w:p>
    <w:p w14:paraId="0D2E9BC2">
      <w:pPr>
        <w:rPr>
          <w:rFonts w:hint="eastAsia"/>
        </w:rPr>
      </w:pPr>
      <w:r>
        <w:rPr>
          <w:rFonts w:hint="eastAsia"/>
        </w:rPr>
        <w:t>（1）底升角宜选取15°、20°、30°等典型角度；</w:t>
      </w:r>
    </w:p>
    <w:p w14:paraId="64EAF501">
      <w:pPr>
        <w:rPr>
          <w:rFonts w:hint="eastAsia"/>
        </w:rPr>
      </w:pPr>
      <w:r>
        <w:rPr>
          <w:rFonts w:hint="eastAsia"/>
        </w:rPr>
        <w:t>（2）入水速度应根据抛投高度对应的速度范围确定；</w:t>
      </w:r>
    </w:p>
    <w:p w14:paraId="6B44C095">
      <w:pPr>
        <w:rPr>
          <w:rFonts w:hint="eastAsia"/>
        </w:rPr>
      </w:pPr>
      <w:r>
        <w:rPr>
          <w:rFonts w:hint="eastAsia"/>
        </w:rPr>
        <w:t>（3）验证内容应包括砰击压力时历、压力峰值及运动响应。</w:t>
      </w:r>
    </w:p>
    <w:p w14:paraId="691ECEE8">
      <w:pPr>
        <w:rPr>
          <w:rFonts w:hint="eastAsia"/>
        </w:rPr>
      </w:pPr>
      <w:r>
        <w:rPr>
          <w:rFonts w:hint="eastAsia"/>
        </w:rPr>
        <w:t>4.2.2.3 也可采用球体入水或其他具有公开试验数据的入水标模进行验证。</w:t>
      </w:r>
    </w:p>
    <w:p w14:paraId="39928207">
      <w:pPr>
        <w:pStyle w:val="4"/>
        <w:bidi w:val="0"/>
        <w:rPr>
          <w:rFonts w:hint="eastAsia"/>
        </w:rPr>
      </w:pPr>
      <w:r>
        <w:rPr>
          <w:rFonts w:hint="eastAsia"/>
        </w:rPr>
        <w:t xml:space="preserve"> 4.2.3 验证精度要求</w:t>
      </w:r>
    </w:p>
    <w:p w14:paraId="05E0699F">
      <w:pPr>
        <w:rPr>
          <w:rFonts w:hint="eastAsia"/>
        </w:rPr>
      </w:pPr>
      <w:r>
        <w:rPr>
          <w:rFonts w:hint="eastAsia"/>
        </w:rPr>
        <w:t>4.2.3.1 基准标模验证应将CFD计算结果与公开试验数据进行对比。</w:t>
      </w:r>
    </w:p>
    <w:p w14:paraId="5688F96D">
      <w:pPr>
        <w:rPr>
          <w:rFonts w:hint="eastAsia"/>
        </w:rPr>
      </w:pPr>
      <w:r>
        <w:rPr>
          <w:rFonts w:hint="eastAsia"/>
        </w:rPr>
        <w:t>4.2.3.2 验证报告中应提供CFD计算结果与试验数据的对比曲线，并对偏差原因进行分析说明。</w:t>
      </w:r>
    </w:p>
    <w:p w14:paraId="7164A477">
      <w:pPr>
        <w:pStyle w:val="3"/>
        <w:bidi w:val="0"/>
        <w:rPr>
          <w:rFonts w:hint="eastAsia"/>
        </w:rPr>
      </w:pPr>
      <w:r>
        <w:rPr>
          <w:rFonts w:hint="eastAsia"/>
        </w:rPr>
        <w:t xml:space="preserve"> </w:t>
      </w:r>
      <w:bookmarkStart w:id="21" w:name="_Toc14098"/>
      <w:r>
        <w:rPr>
          <w:rFonts w:hint="eastAsia"/>
        </w:rPr>
        <w:t>第3节 网格与时间步收敛性分析</w:t>
      </w:r>
      <w:bookmarkEnd w:id="21"/>
    </w:p>
    <w:p w14:paraId="6BDC69DB">
      <w:pPr>
        <w:pStyle w:val="4"/>
        <w:bidi w:val="0"/>
        <w:rPr>
          <w:rFonts w:hint="eastAsia"/>
        </w:rPr>
      </w:pPr>
      <w:r>
        <w:rPr>
          <w:rFonts w:hint="eastAsia"/>
        </w:rPr>
        <w:t xml:space="preserve"> 4.3.1 一般要求</w:t>
      </w:r>
    </w:p>
    <w:p w14:paraId="46CD38A7">
      <w:pPr>
        <w:rPr>
          <w:rFonts w:hint="eastAsia"/>
        </w:rPr>
      </w:pPr>
      <w:r>
        <w:rPr>
          <w:rFonts w:hint="eastAsia"/>
        </w:rPr>
        <w:t>4.3.1.1 应对目标救生艇的计算网格开展收敛性分析，以评估计算结果对网格分辨率的依赖性。</w:t>
      </w:r>
    </w:p>
    <w:p w14:paraId="3E8C7BFD">
      <w:pPr>
        <w:rPr>
          <w:rFonts w:hint="eastAsia"/>
        </w:rPr>
      </w:pPr>
      <w:r>
        <w:rPr>
          <w:rFonts w:hint="eastAsia"/>
        </w:rPr>
        <w:t>4.3.1.2 应采用至少3套不同密度的网格（粗、中、细）进行收敛性分析。</w:t>
      </w:r>
    </w:p>
    <w:p w14:paraId="456F5702">
      <w:pPr>
        <w:pStyle w:val="4"/>
        <w:bidi w:val="0"/>
        <w:rPr>
          <w:rFonts w:hint="eastAsia"/>
        </w:rPr>
      </w:pPr>
      <w:r>
        <w:rPr>
          <w:rFonts w:hint="eastAsia"/>
        </w:rPr>
        <w:t xml:space="preserve"> 4.3.2 收敛性分析要求</w:t>
      </w:r>
    </w:p>
    <w:p w14:paraId="248FB1FD">
      <w:pPr>
        <w:rPr>
          <w:rFonts w:hint="eastAsia"/>
        </w:rPr>
      </w:pPr>
      <w:r>
        <w:rPr>
          <w:rFonts w:hint="eastAsia"/>
        </w:rPr>
        <w:t>4.3.2.1 三套网格应在保持网格拓扑结构和加密策略一致的前提下，按比例调整网格尺寸。</w:t>
      </w:r>
    </w:p>
    <w:p w14:paraId="636C9471">
      <w:pPr>
        <w:rPr>
          <w:rFonts w:hint="eastAsia"/>
        </w:rPr>
      </w:pPr>
      <w:r>
        <w:rPr>
          <w:rFonts w:hint="eastAsia"/>
        </w:rPr>
        <w:t>4.3.2.2 收敛性分析的关键监测指标应包括：</w:t>
      </w:r>
    </w:p>
    <w:p w14:paraId="7F64322D">
      <w:pPr>
        <w:rPr>
          <w:rFonts w:hint="eastAsia"/>
        </w:rPr>
      </w:pPr>
      <w:r>
        <w:rPr>
          <w:rFonts w:hint="eastAsia"/>
        </w:rPr>
        <w:t>（1）砰击压力峰值；</w:t>
      </w:r>
    </w:p>
    <w:p w14:paraId="4404F8D8">
      <w:pPr>
        <w:rPr>
          <w:rFonts w:hint="eastAsia"/>
        </w:rPr>
      </w:pPr>
      <w:r>
        <w:rPr>
          <w:rFonts w:hint="eastAsia"/>
        </w:rPr>
        <w:t>（2）冲击加速度峰值；</w:t>
      </w:r>
    </w:p>
    <w:p w14:paraId="04C5F0DC">
      <w:pPr>
        <w:rPr>
          <w:rFonts w:hint="eastAsia"/>
        </w:rPr>
      </w:pPr>
      <w:r>
        <w:rPr>
          <w:rFonts w:hint="eastAsia"/>
        </w:rPr>
        <w:t>（3）艇体入水过程中的速度变化。</w:t>
      </w:r>
    </w:p>
    <w:p w14:paraId="50F7190F">
      <w:pPr>
        <w:rPr>
          <w:rFonts w:hint="eastAsia"/>
        </w:rPr>
      </w:pPr>
      <w:r>
        <w:rPr>
          <w:rFonts w:hint="eastAsia"/>
        </w:rPr>
        <w:t>4.3.2.3 评估报告应提供三套网格的计算结果对比，并说明关键指标随网格细化是否趋于稳定。</w:t>
      </w:r>
    </w:p>
    <w:p w14:paraId="59455D1A">
      <w:pPr>
        <w:pStyle w:val="4"/>
        <w:bidi w:val="0"/>
        <w:rPr>
          <w:rFonts w:hint="eastAsia"/>
        </w:rPr>
      </w:pPr>
      <w:r>
        <w:rPr>
          <w:rFonts w:hint="eastAsia"/>
        </w:rPr>
        <w:t xml:space="preserve"> 4.3.3 时间步收敛性分析</w:t>
      </w:r>
    </w:p>
    <w:p w14:paraId="13AE578B">
      <w:pPr>
        <w:rPr>
          <w:rFonts w:hint="eastAsia"/>
        </w:rPr>
      </w:pPr>
      <w:r>
        <w:rPr>
          <w:rFonts w:hint="eastAsia"/>
        </w:rPr>
        <w:t>4.3.3.1 建议对时间步长进行收敛性分析，以确认时间步长选择对计算结果的影响在可接受范围内。</w:t>
      </w:r>
    </w:p>
    <w:p w14:paraId="675577AC">
      <w:pPr>
        <w:rPr>
          <w:rFonts w:hint="eastAsia"/>
        </w:rPr>
      </w:pPr>
      <w:r>
        <w:rPr>
          <w:rFonts w:hint="eastAsia"/>
        </w:rPr>
        <w:t>4.3.3.2 应采用至少2种不同的时间步长进行对比分析。</w:t>
      </w:r>
    </w:p>
    <w:p w14:paraId="5B6CFD38">
      <w:pPr>
        <w:rPr>
          <w:rFonts w:hint="eastAsia"/>
        </w:rPr>
      </w:pPr>
    </w:p>
    <w:p w14:paraId="0FCA5A93">
      <w:pPr>
        <w:rPr>
          <w:rFonts w:hint="eastAsia"/>
        </w:rPr>
      </w:pPr>
      <w:r>
        <w:rPr>
          <w:rFonts w:hint="eastAsia"/>
        </w:rPr>
        <w:br w:type="page"/>
      </w:r>
    </w:p>
    <w:p w14:paraId="12EAF216">
      <w:pPr>
        <w:pStyle w:val="2"/>
        <w:bidi w:val="0"/>
        <w:rPr>
          <w:rFonts w:hint="eastAsia"/>
        </w:rPr>
      </w:pPr>
      <w:r>
        <w:rPr>
          <w:rFonts w:hint="eastAsia"/>
        </w:rPr>
        <w:t xml:space="preserve"> </w:t>
      </w:r>
      <w:bookmarkStart w:id="22" w:name="_Toc8908"/>
      <w:r>
        <w:rPr>
          <w:rFonts w:hint="eastAsia"/>
        </w:rPr>
        <w:t>第5章 报告要求</w:t>
      </w:r>
      <w:bookmarkEnd w:id="22"/>
    </w:p>
    <w:p w14:paraId="32EF3122">
      <w:pPr>
        <w:pStyle w:val="3"/>
        <w:bidi w:val="0"/>
        <w:rPr>
          <w:rFonts w:hint="eastAsia"/>
        </w:rPr>
      </w:pPr>
      <w:r>
        <w:rPr>
          <w:rFonts w:hint="eastAsia"/>
        </w:rPr>
        <w:t xml:space="preserve"> </w:t>
      </w:r>
      <w:bookmarkStart w:id="23" w:name="_Toc12126"/>
      <w:r>
        <w:rPr>
          <w:rFonts w:hint="eastAsia"/>
        </w:rPr>
        <w:t>第1节 一般规定</w:t>
      </w:r>
      <w:bookmarkEnd w:id="23"/>
    </w:p>
    <w:p w14:paraId="69979445">
      <w:pPr>
        <w:pStyle w:val="4"/>
        <w:bidi w:val="0"/>
        <w:rPr>
          <w:rFonts w:hint="eastAsia"/>
        </w:rPr>
      </w:pPr>
      <w:r>
        <w:rPr>
          <w:rFonts w:hint="eastAsia"/>
        </w:rPr>
        <w:t xml:space="preserve"> 5.1.1 报告内容</w:t>
      </w:r>
    </w:p>
    <w:p w14:paraId="6A429075">
      <w:pPr>
        <w:rPr>
          <w:rFonts w:hint="eastAsia"/>
        </w:rPr>
      </w:pPr>
      <w:r>
        <w:rPr>
          <w:rFonts w:hint="eastAsia"/>
        </w:rPr>
        <w:t>5.1.1.1 救生艇抛投试验数字化评估报告应全面、准确地记录评估过程和结果。</w:t>
      </w:r>
    </w:p>
    <w:p w14:paraId="2A92E510">
      <w:pPr>
        <w:rPr>
          <w:rFonts w:hint="default" w:eastAsiaTheme="minorEastAsia"/>
          <w:lang w:val="en-US" w:eastAsia="zh-CN"/>
        </w:rPr>
      </w:pPr>
      <w:r>
        <w:rPr>
          <w:rFonts w:hint="eastAsia"/>
          <w:lang w:val="en-US" w:eastAsia="zh-CN"/>
        </w:rPr>
        <w:t>5.1.1.2 报告编写后，应保存原始计算数据文件、残差曲线、力/力矩输出和六自由度运动输出等结果，保证计算结果可复现。</w:t>
      </w:r>
    </w:p>
    <w:p w14:paraId="7D3DC033">
      <w:pPr>
        <w:pStyle w:val="3"/>
        <w:bidi w:val="0"/>
        <w:rPr>
          <w:rFonts w:hint="eastAsia"/>
        </w:rPr>
      </w:pPr>
      <w:r>
        <w:rPr>
          <w:rFonts w:hint="eastAsia"/>
        </w:rPr>
        <w:t xml:space="preserve"> </w:t>
      </w:r>
      <w:bookmarkStart w:id="24" w:name="_Toc16792"/>
      <w:r>
        <w:rPr>
          <w:rFonts w:hint="eastAsia"/>
        </w:rPr>
        <w:t>第2节 简介与目标</w:t>
      </w:r>
      <w:bookmarkEnd w:id="24"/>
    </w:p>
    <w:p w14:paraId="0F1AA2AB">
      <w:pPr>
        <w:pStyle w:val="4"/>
        <w:bidi w:val="0"/>
        <w:rPr>
          <w:rFonts w:hint="eastAsia"/>
        </w:rPr>
      </w:pPr>
      <w:r>
        <w:rPr>
          <w:rFonts w:hint="eastAsia"/>
        </w:rPr>
        <w:t xml:space="preserve"> 5.2.1 评估概述</w:t>
      </w:r>
    </w:p>
    <w:p w14:paraId="0C7FC71C">
      <w:pPr>
        <w:rPr>
          <w:rFonts w:hint="eastAsia"/>
        </w:rPr>
      </w:pPr>
      <w:r>
        <w:rPr>
          <w:rFonts w:hint="eastAsia"/>
        </w:rPr>
        <w:t>5.2.1.1 应陈述开展的工作及模拟的目标。</w:t>
      </w:r>
    </w:p>
    <w:p w14:paraId="60622D44">
      <w:pPr>
        <w:rPr>
          <w:rFonts w:hint="eastAsia"/>
        </w:rPr>
      </w:pPr>
      <w:r>
        <w:rPr>
          <w:rFonts w:hint="eastAsia"/>
        </w:rPr>
        <w:t>5.2.1.2 应说明评估所依据的指南版本。</w:t>
      </w:r>
    </w:p>
    <w:p w14:paraId="7E790BFA">
      <w:pPr>
        <w:pStyle w:val="3"/>
        <w:bidi w:val="0"/>
        <w:rPr>
          <w:rFonts w:hint="eastAsia"/>
        </w:rPr>
      </w:pPr>
      <w:r>
        <w:rPr>
          <w:rFonts w:hint="eastAsia"/>
        </w:rPr>
        <w:t xml:space="preserve"> </w:t>
      </w:r>
      <w:bookmarkStart w:id="25" w:name="_Toc11660"/>
      <w:r>
        <w:rPr>
          <w:rFonts w:hint="eastAsia"/>
        </w:rPr>
        <w:t>第3节 图纸资料</w:t>
      </w:r>
      <w:bookmarkEnd w:id="25"/>
    </w:p>
    <w:p w14:paraId="14737C8E">
      <w:pPr>
        <w:pStyle w:val="4"/>
        <w:bidi w:val="0"/>
        <w:rPr>
          <w:rFonts w:hint="eastAsia"/>
        </w:rPr>
      </w:pPr>
      <w:r>
        <w:rPr>
          <w:rFonts w:hint="eastAsia"/>
        </w:rPr>
        <w:t xml:space="preserve"> 5.3.1 资料清单</w:t>
      </w:r>
    </w:p>
    <w:p w14:paraId="0D8990E9">
      <w:pPr>
        <w:rPr>
          <w:rFonts w:hint="eastAsia"/>
        </w:rPr>
      </w:pPr>
      <w:r>
        <w:rPr>
          <w:rFonts w:hint="eastAsia"/>
        </w:rPr>
        <w:t>5.3.1.1 提交的图纸资料应满足本指南第1.1.4条的要求。</w:t>
      </w:r>
    </w:p>
    <w:p w14:paraId="5C17195A">
      <w:pPr>
        <w:pStyle w:val="3"/>
        <w:bidi w:val="0"/>
        <w:rPr>
          <w:rFonts w:hint="eastAsia"/>
        </w:rPr>
      </w:pPr>
      <w:r>
        <w:rPr>
          <w:rFonts w:hint="eastAsia"/>
        </w:rPr>
        <w:t xml:space="preserve"> </w:t>
      </w:r>
      <w:bookmarkStart w:id="26" w:name="_Toc25214"/>
      <w:r>
        <w:rPr>
          <w:rFonts w:hint="eastAsia"/>
        </w:rPr>
        <w:t>第4节 艇型描述</w:t>
      </w:r>
      <w:bookmarkEnd w:id="26"/>
    </w:p>
    <w:p w14:paraId="2647A41F">
      <w:pPr>
        <w:pStyle w:val="4"/>
        <w:bidi w:val="0"/>
        <w:rPr>
          <w:rFonts w:hint="eastAsia"/>
        </w:rPr>
      </w:pPr>
      <w:r>
        <w:rPr>
          <w:rFonts w:hint="eastAsia"/>
        </w:rPr>
        <w:t xml:space="preserve"> 5.4.1 救生艇参数</w:t>
      </w:r>
    </w:p>
    <w:p w14:paraId="07B571C5">
      <w:pPr>
        <w:rPr>
          <w:rFonts w:hint="eastAsia"/>
        </w:rPr>
      </w:pPr>
      <w:r>
        <w:rPr>
          <w:rFonts w:hint="eastAsia"/>
        </w:rPr>
        <w:t>5.4.1.1 报告中应包含评估救生艇的主要参数，如下表所示：</w:t>
      </w:r>
    </w:p>
    <w:p w14:paraId="68B3D854">
      <w:pPr>
        <w:bidi w:val="0"/>
        <w:jc w:val="center"/>
      </w:pPr>
      <w:r>
        <w:rPr>
          <w:rFonts w:hint="default"/>
        </w:rPr>
        <w:t>表5.4.1-1 评估救生艇主参数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54"/>
        <w:gridCol w:w="1740"/>
        <w:gridCol w:w="900"/>
        <w:gridCol w:w="900"/>
        <w:gridCol w:w="900"/>
      </w:tblGrid>
      <w:tr w14:paraId="15F18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jc w:val="center"/>
        </w:trPr>
        <w:tc>
          <w:tcPr>
            <w:tcW w:w="854" w:type="dxa"/>
            <w:shd w:val="clear" w:color="auto" w:fill="auto"/>
            <w:tcMar>
              <w:top w:w="150" w:type="dxa"/>
              <w:left w:w="0" w:type="dxa"/>
              <w:bottom w:w="150" w:type="dxa"/>
              <w:right w:w="240" w:type="dxa"/>
            </w:tcMar>
            <w:vAlign w:val="center"/>
          </w:tcPr>
          <w:p w14:paraId="0DB27139">
            <w:pPr>
              <w:keepNext w:val="0"/>
              <w:keepLines w:val="0"/>
              <w:pageBreakBefore w:val="0"/>
              <w:widowControl w:val="0"/>
              <w:kinsoku/>
              <w:wordWrap/>
              <w:overflowPunct/>
              <w:topLinePunct w:val="0"/>
              <w:autoSpaceDE/>
              <w:autoSpaceDN/>
              <w:bidi w:val="0"/>
              <w:adjustRightInd/>
              <w:snapToGrid/>
              <w:jc w:val="center"/>
              <w:textAlignment w:val="auto"/>
            </w:pPr>
            <w:r>
              <w:rPr>
                <w:rFonts w:hint="default"/>
                <w:lang w:val="en-US" w:eastAsia="zh-CN"/>
              </w:rPr>
              <w:t>序号</w:t>
            </w:r>
          </w:p>
        </w:tc>
        <w:tc>
          <w:tcPr>
            <w:tcW w:w="0" w:type="auto"/>
            <w:shd w:val="clear" w:color="auto" w:fill="auto"/>
            <w:tcMar>
              <w:top w:w="150" w:type="dxa"/>
              <w:left w:w="240" w:type="dxa"/>
              <w:bottom w:w="150" w:type="dxa"/>
              <w:right w:w="240" w:type="dxa"/>
            </w:tcMar>
            <w:vAlign w:val="center"/>
          </w:tcPr>
          <w:p w14:paraId="22355902">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项目</w:t>
            </w:r>
          </w:p>
        </w:tc>
        <w:tc>
          <w:tcPr>
            <w:tcW w:w="0" w:type="auto"/>
            <w:shd w:val="clear" w:color="auto" w:fill="auto"/>
            <w:tcMar>
              <w:top w:w="150" w:type="dxa"/>
              <w:left w:w="240" w:type="dxa"/>
              <w:bottom w:w="150" w:type="dxa"/>
              <w:right w:w="240" w:type="dxa"/>
            </w:tcMar>
            <w:vAlign w:val="center"/>
          </w:tcPr>
          <w:p w14:paraId="77F63E5E">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符号</w:t>
            </w:r>
          </w:p>
        </w:tc>
        <w:tc>
          <w:tcPr>
            <w:tcW w:w="0" w:type="auto"/>
            <w:shd w:val="clear" w:color="auto" w:fill="auto"/>
            <w:tcMar>
              <w:top w:w="150" w:type="dxa"/>
              <w:left w:w="240" w:type="dxa"/>
              <w:bottom w:w="150" w:type="dxa"/>
              <w:right w:w="240" w:type="dxa"/>
            </w:tcMar>
            <w:vAlign w:val="center"/>
          </w:tcPr>
          <w:p w14:paraId="04FE7028">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数值</w:t>
            </w:r>
          </w:p>
        </w:tc>
        <w:tc>
          <w:tcPr>
            <w:tcW w:w="0" w:type="auto"/>
            <w:shd w:val="clear" w:color="auto" w:fill="auto"/>
            <w:tcMar>
              <w:top w:w="150" w:type="dxa"/>
              <w:left w:w="240" w:type="dxa"/>
              <w:bottom w:w="150" w:type="dxa"/>
              <w:right w:w="240" w:type="dxa"/>
            </w:tcMar>
            <w:vAlign w:val="center"/>
          </w:tcPr>
          <w:p w14:paraId="650CE1AE">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单位</w:t>
            </w:r>
          </w:p>
        </w:tc>
      </w:tr>
      <w:tr w14:paraId="10490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0B5AC246">
            <w:pPr>
              <w:keepNext w:val="0"/>
              <w:keepLines w:val="0"/>
              <w:pageBreakBefore w:val="0"/>
              <w:widowControl w:val="0"/>
              <w:kinsoku/>
              <w:wordWrap/>
              <w:overflowPunct/>
              <w:topLinePunct w:val="0"/>
              <w:autoSpaceDE/>
              <w:autoSpaceDN/>
              <w:bidi w:val="0"/>
              <w:adjustRightInd/>
              <w:snapToGrid/>
              <w:jc w:val="center"/>
              <w:textAlignment w:val="auto"/>
            </w:pPr>
            <w:r>
              <w:rPr>
                <w:rFonts w:hint="default"/>
                <w:lang w:val="en-US" w:eastAsia="zh-CN"/>
              </w:rPr>
              <w:t>1</w:t>
            </w:r>
          </w:p>
        </w:tc>
        <w:tc>
          <w:tcPr>
            <w:tcW w:w="0" w:type="auto"/>
            <w:shd w:val="clear" w:color="auto" w:fill="auto"/>
            <w:tcMar>
              <w:top w:w="150" w:type="dxa"/>
              <w:left w:w="240" w:type="dxa"/>
              <w:bottom w:w="150" w:type="dxa"/>
              <w:right w:w="240" w:type="dxa"/>
            </w:tcMar>
            <w:vAlign w:val="center"/>
          </w:tcPr>
          <w:p w14:paraId="5240510B">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总长</w:t>
            </w:r>
          </w:p>
        </w:tc>
        <w:tc>
          <w:tcPr>
            <w:tcW w:w="0" w:type="auto"/>
            <w:shd w:val="clear" w:color="auto" w:fill="auto"/>
            <w:tcMar>
              <w:top w:w="150" w:type="dxa"/>
              <w:left w:w="240" w:type="dxa"/>
              <w:bottom w:w="150" w:type="dxa"/>
              <w:right w:w="240" w:type="dxa"/>
            </w:tcMar>
            <w:vAlign w:val="center"/>
          </w:tcPr>
          <w:p w14:paraId="27C50976">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Loa</w:t>
            </w:r>
          </w:p>
        </w:tc>
        <w:tc>
          <w:tcPr>
            <w:tcW w:w="0" w:type="auto"/>
            <w:shd w:val="clear" w:color="auto" w:fill="auto"/>
            <w:tcMar>
              <w:top w:w="150" w:type="dxa"/>
              <w:left w:w="240" w:type="dxa"/>
              <w:bottom w:w="150" w:type="dxa"/>
              <w:right w:w="240" w:type="dxa"/>
            </w:tcMar>
            <w:vAlign w:val="center"/>
          </w:tcPr>
          <w:p w14:paraId="4FB644E7">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20B5030A">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m</w:t>
            </w:r>
          </w:p>
        </w:tc>
      </w:tr>
      <w:tr w14:paraId="50D3F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65BC798F">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2</w:t>
            </w:r>
          </w:p>
        </w:tc>
        <w:tc>
          <w:tcPr>
            <w:tcW w:w="0" w:type="auto"/>
            <w:shd w:val="clear" w:color="auto" w:fill="auto"/>
            <w:tcMar>
              <w:top w:w="150" w:type="dxa"/>
              <w:left w:w="240" w:type="dxa"/>
              <w:bottom w:w="150" w:type="dxa"/>
              <w:right w:w="240" w:type="dxa"/>
            </w:tcMar>
            <w:vAlign w:val="center"/>
          </w:tcPr>
          <w:p w14:paraId="5E10C8DD">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水线长</w:t>
            </w:r>
          </w:p>
        </w:tc>
        <w:tc>
          <w:tcPr>
            <w:tcW w:w="0" w:type="auto"/>
            <w:shd w:val="clear" w:color="auto" w:fill="auto"/>
            <w:tcMar>
              <w:top w:w="150" w:type="dxa"/>
              <w:left w:w="240" w:type="dxa"/>
              <w:bottom w:w="150" w:type="dxa"/>
              <w:right w:w="240" w:type="dxa"/>
            </w:tcMar>
            <w:vAlign w:val="center"/>
          </w:tcPr>
          <w:p w14:paraId="36BCE812">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Lwl</w:t>
            </w:r>
          </w:p>
        </w:tc>
        <w:tc>
          <w:tcPr>
            <w:tcW w:w="0" w:type="auto"/>
            <w:shd w:val="clear" w:color="auto" w:fill="auto"/>
            <w:tcMar>
              <w:top w:w="150" w:type="dxa"/>
              <w:left w:w="240" w:type="dxa"/>
              <w:bottom w:w="150" w:type="dxa"/>
              <w:right w:w="240" w:type="dxa"/>
            </w:tcMar>
            <w:vAlign w:val="center"/>
          </w:tcPr>
          <w:p w14:paraId="4A2E5593">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33F8CF5E">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m</w:t>
            </w:r>
          </w:p>
        </w:tc>
      </w:tr>
      <w:tr w14:paraId="26C9D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4C48012B">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3</w:t>
            </w:r>
          </w:p>
        </w:tc>
        <w:tc>
          <w:tcPr>
            <w:tcW w:w="0" w:type="auto"/>
            <w:shd w:val="clear" w:color="auto" w:fill="auto"/>
            <w:tcMar>
              <w:top w:w="150" w:type="dxa"/>
              <w:left w:w="240" w:type="dxa"/>
              <w:bottom w:w="150" w:type="dxa"/>
              <w:right w:w="240" w:type="dxa"/>
            </w:tcMar>
            <w:vAlign w:val="center"/>
          </w:tcPr>
          <w:p w14:paraId="35110F3F">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型宽</w:t>
            </w:r>
          </w:p>
        </w:tc>
        <w:tc>
          <w:tcPr>
            <w:tcW w:w="0" w:type="auto"/>
            <w:shd w:val="clear" w:color="auto" w:fill="auto"/>
            <w:tcMar>
              <w:top w:w="150" w:type="dxa"/>
              <w:left w:w="240" w:type="dxa"/>
              <w:bottom w:w="150" w:type="dxa"/>
              <w:right w:w="240" w:type="dxa"/>
            </w:tcMar>
            <w:vAlign w:val="center"/>
          </w:tcPr>
          <w:p w14:paraId="155F0A5D">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B</w:t>
            </w:r>
          </w:p>
        </w:tc>
        <w:tc>
          <w:tcPr>
            <w:tcW w:w="0" w:type="auto"/>
            <w:shd w:val="clear" w:color="auto" w:fill="auto"/>
            <w:tcMar>
              <w:top w:w="150" w:type="dxa"/>
              <w:left w:w="240" w:type="dxa"/>
              <w:bottom w:w="150" w:type="dxa"/>
              <w:right w:w="240" w:type="dxa"/>
            </w:tcMar>
            <w:vAlign w:val="center"/>
          </w:tcPr>
          <w:p w14:paraId="578D1EB0">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2EA754A0">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m</w:t>
            </w:r>
          </w:p>
        </w:tc>
      </w:tr>
      <w:tr w14:paraId="2811F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4FCBE462">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4</w:t>
            </w:r>
          </w:p>
        </w:tc>
        <w:tc>
          <w:tcPr>
            <w:tcW w:w="0" w:type="auto"/>
            <w:shd w:val="clear" w:color="auto" w:fill="auto"/>
            <w:tcMar>
              <w:top w:w="150" w:type="dxa"/>
              <w:left w:w="240" w:type="dxa"/>
              <w:bottom w:w="150" w:type="dxa"/>
              <w:right w:w="240" w:type="dxa"/>
            </w:tcMar>
            <w:vAlign w:val="center"/>
          </w:tcPr>
          <w:p w14:paraId="3078C934">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型深</w:t>
            </w:r>
          </w:p>
        </w:tc>
        <w:tc>
          <w:tcPr>
            <w:tcW w:w="0" w:type="auto"/>
            <w:shd w:val="clear" w:color="auto" w:fill="auto"/>
            <w:tcMar>
              <w:top w:w="150" w:type="dxa"/>
              <w:left w:w="240" w:type="dxa"/>
              <w:bottom w:w="150" w:type="dxa"/>
              <w:right w:w="240" w:type="dxa"/>
            </w:tcMar>
            <w:vAlign w:val="center"/>
          </w:tcPr>
          <w:p w14:paraId="08EB8FC2">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D</w:t>
            </w:r>
          </w:p>
        </w:tc>
        <w:tc>
          <w:tcPr>
            <w:tcW w:w="0" w:type="auto"/>
            <w:shd w:val="clear" w:color="auto" w:fill="auto"/>
            <w:tcMar>
              <w:top w:w="150" w:type="dxa"/>
              <w:left w:w="240" w:type="dxa"/>
              <w:bottom w:w="150" w:type="dxa"/>
              <w:right w:w="240" w:type="dxa"/>
            </w:tcMar>
            <w:vAlign w:val="center"/>
          </w:tcPr>
          <w:p w14:paraId="2DD9BADE">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209A807E">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m</w:t>
            </w:r>
          </w:p>
        </w:tc>
      </w:tr>
      <w:tr w14:paraId="045C0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56EA7159">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5</w:t>
            </w:r>
          </w:p>
        </w:tc>
        <w:tc>
          <w:tcPr>
            <w:tcW w:w="0" w:type="auto"/>
            <w:shd w:val="clear" w:color="auto" w:fill="auto"/>
            <w:tcMar>
              <w:top w:w="150" w:type="dxa"/>
              <w:left w:w="240" w:type="dxa"/>
              <w:bottom w:w="150" w:type="dxa"/>
              <w:right w:w="240" w:type="dxa"/>
            </w:tcMar>
            <w:vAlign w:val="center"/>
          </w:tcPr>
          <w:p w14:paraId="5541A4E7">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排水体积</w:t>
            </w:r>
          </w:p>
        </w:tc>
        <w:tc>
          <w:tcPr>
            <w:tcW w:w="0" w:type="auto"/>
            <w:shd w:val="clear" w:color="auto" w:fill="auto"/>
            <w:tcMar>
              <w:top w:w="150" w:type="dxa"/>
              <w:left w:w="240" w:type="dxa"/>
              <w:bottom w:w="150" w:type="dxa"/>
              <w:right w:w="240" w:type="dxa"/>
            </w:tcMar>
            <w:vAlign w:val="center"/>
          </w:tcPr>
          <w:p w14:paraId="2EBACC4F">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w:t>
            </w:r>
          </w:p>
        </w:tc>
        <w:tc>
          <w:tcPr>
            <w:tcW w:w="0" w:type="auto"/>
            <w:shd w:val="clear" w:color="auto" w:fill="auto"/>
            <w:tcMar>
              <w:top w:w="150" w:type="dxa"/>
              <w:left w:w="240" w:type="dxa"/>
              <w:bottom w:w="150" w:type="dxa"/>
              <w:right w:w="240" w:type="dxa"/>
            </w:tcMar>
            <w:vAlign w:val="center"/>
          </w:tcPr>
          <w:p w14:paraId="6EC24AB5">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17F45014">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m³</w:t>
            </w:r>
          </w:p>
        </w:tc>
      </w:tr>
      <w:tr w14:paraId="7AF8A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10DD4369">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6</w:t>
            </w:r>
          </w:p>
        </w:tc>
        <w:tc>
          <w:tcPr>
            <w:tcW w:w="0" w:type="auto"/>
            <w:shd w:val="clear" w:color="auto" w:fill="auto"/>
            <w:tcMar>
              <w:top w:w="150" w:type="dxa"/>
              <w:left w:w="240" w:type="dxa"/>
              <w:bottom w:w="150" w:type="dxa"/>
              <w:right w:w="240" w:type="dxa"/>
            </w:tcMar>
            <w:vAlign w:val="center"/>
          </w:tcPr>
          <w:p w14:paraId="2EEF5848">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湿表面积</w:t>
            </w:r>
          </w:p>
        </w:tc>
        <w:tc>
          <w:tcPr>
            <w:tcW w:w="0" w:type="auto"/>
            <w:shd w:val="clear" w:color="auto" w:fill="auto"/>
            <w:tcMar>
              <w:top w:w="150" w:type="dxa"/>
              <w:left w:w="240" w:type="dxa"/>
              <w:bottom w:w="150" w:type="dxa"/>
              <w:right w:w="240" w:type="dxa"/>
            </w:tcMar>
            <w:vAlign w:val="center"/>
          </w:tcPr>
          <w:p w14:paraId="2B64512D">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Sw</w:t>
            </w:r>
          </w:p>
        </w:tc>
        <w:tc>
          <w:tcPr>
            <w:tcW w:w="0" w:type="auto"/>
            <w:shd w:val="clear" w:color="auto" w:fill="auto"/>
            <w:tcMar>
              <w:top w:w="150" w:type="dxa"/>
              <w:left w:w="240" w:type="dxa"/>
              <w:bottom w:w="150" w:type="dxa"/>
              <w:right w:w="240" w:type="dxa"/>
            </w:tcMar>
            <w:vAlign w:val="center"/>
          </w:tcPr>
          <w:p w14:paraId="7B58675A">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75AAAC5C">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m²</w:t>
            </w:r>
          </w:p>
        </w:tc>
      </w:tr>
      <w:tr w14:paraId="76EAB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17638112">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7</w:t>
            </w:r>
          </w:p>
        </w:tc>
        <w:tc>
          <w:tcPr>
            <w:tcW w:w="0" w:type="auto"/>
            <w:shd w:val="clear" w:color="auto" w:fill="auto"/>
            <w:tcMar>
              <w:top w:w="150" w:type="dxa"/>
              <w:left w:w="240" w:type="dxa"/>
              <w:bottom w:w="150" w:type="dxa"/>
              <w:right w:w="240" w:type="dxa"/>
            </w:tcMar>
            <w:vAlign w:val="center"/>
          </w:tcPr>
          <w:p w14:paraId="5E9631B8">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方形系数</w:t>
            </w:r>
          </w:p>
        </w:tc>
        <w:tc>
          <w:tcPr>
            <w:tcW w:w="0" w:type="auto"/>
            <w:shd w:val="clear" w:color="auto" w:fill="auto"/>
            <w:tcMar>
              <w:top w:w="150" w:type="dxa"/>
              <w:left w:w="240" w:type="dxa"/>
              <w:bottom w:w="150" w:type="dxa"/>
              <w:right w:w="240" w:type="dxa"/>
            </w:tcMar>
            <w:vAlign w:val="center"/>
          </w:tcPr>
          <w:p w14:paraId="5B73957B">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Cb</w:t>
            </w:r>
          </w:p>
        </w:tc>
        <w:tc>
          <w:tcPr>
            <w:tcW w:w="0" w:type="auto"/>
            <w:shd w:val="clear" w:color="auto" w:fill="auto"/>
            <w:tcMar>
              <w:top w:w="150" w:type="dxa"/>
              <w:left w:w="240" w:type="dxa"/>
              <w:bottom w:w="150" w:type="dxa"/>
              <w:right w:w="240" w:type="dxa"/>
            </w:tcMar>
            <w:vAlign w:val="center"/>
          </w:tcPr>
          <w:p w14:paraId="0795C790">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55BEB317">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r>
      <w:tr w14:paraId="4E115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4E9EDCFD">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8</w:t>
            </w:r>
          </w:p>
        </w:tc>
        <w:tc>
          <w:tcPr>
            <w:tcW w:w="0" w:type="auto"/>
            <w:shd w:val="clear" w:color="auto" w:fill="auto"/>
            <w:tcMar>
              <w:top w:w="150" w:type="dxa"/>
              <w:left w:w="240" w:type="dxa"/>
              <w:bottom w:w="150" w:type="dxa"/>
              <w:right w:w="240" w:type="dxa"/>
            </w:tcMar>
            <w:vAlign w:val="center"/>
          </w:tcPr>
          <w:p w14:paraId="70FC2E11">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重心纵向位置</w:t>
            </w:r>
          </w:p>
        </w:tc>
        <w:tc>
          <w:tcPr>
            <w:tcW w:w="0" w:type="auto"/>
            <w:shd w:val="clear" w:color="auto" w:fill="auto"/>
            <w:tcMar>
              <w:top w:w="150" w:type="dxa"/>
              <w:left w:w="240" w:type="dxa"/>
              <w:bottom w:w="150" w:type="dxa"/>
              <w:right w:w="240" w:type="dxa"/>
            </w:tcMar>
            <w:vAlign w:val="center"/>
          </w:tcPr>
          <w:p w14:paraId="7582D690">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LCG</w:t>
            </w:r>
          </w:p>
        </w:tc>
        <w:tc>
          <w:tcPr>
            <w:tcW w:w="0" w:type="auto"/>
            <w:shd w:val="clear" w:color="auto" w:fill="auto"/>
            <w:tcMar>
              <w:top w:w="150" w:type="dxa"/>
              <w:left w:w="240" w:type="dxa"/>
              <w:bottom w:w="150" w:type="dxa"/>
              <w:right w:w="240" w:type="dxa"/>
            </w:tcMar>
            <w:vAlign w:val="center"/>
          </w:tcPr>
          <w:p w14:paraId="3F06D117">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078E5B48">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m</w:t>
            </w:r>
          </w:p>
        </w:tc>
      </w:tr>
      <w:tr w14:paraId="69CC2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7ED555BD">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9</w:t>
            </w:r>
          </w:p>
        </w:tc>
        <w:tc>
          <w:tcPr>
            <w:tcW w:w="0" w:type="auto"/>
            <w:shd w:val="clear" w:color="auto" w:fill="auto"/>
            <w:tcMar>
              <w:top w:w="150" w:type="dxa"/>
              <w:left w:w="240" w:type="dxa"/>
              <w:bottom w:w="150" w:type="dxa"/>
              <w:right w:w="240" w:type="dxa"/>
            </w:tcMar>
            <w:vAlign w:val="center"/>
          </w:tcPr>
          <w:p w14:paraId="53E1BA3E">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重心垂向位置</w:t>
            </w:r>
          </w:p>
        </w:tc>
        <w:tc>
          <w:tcPr>
            <w:tcW w:w="0" w:type="auto"/>
            <w:shd w:val="clear" w:color="auto" w:fill="auto"/>
            <w:tcMar>
              <w:top w:w="150" w:type="dxa"/>
              <w:left w:w="240" w:type="dxa"/>
              <w:bottom w:w="150" w:type="dxa"/>
              <w:right w:w="240" w:type="dxa"/>
            </w:tcMar>
            <w:vAlign w:val="center"/>
          </w:tcPr>
          <w:p w14:paraId="569F9D3D">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VCG</w:t>
            </w:r>
          </w:p>
        </w:tc>
        <w:tc>
          <w:tcPr>
            <w:tcW w:w="0" w:type="auto"/>
            <w:shd w:val="clear" w:color="auto" w:fill="auto"/>
            <w:tcMar>
              <w:top w:w="150" w:type="dxa"/>
              <w:left w:w="240" w:type="dxa"/>
              <w:bottom w:w="150" w:type="dxa"/>
              <w:right w:w="240" w:type="dxa"/>
            </w:tcMar>
            <w:vAlign w:val="center"/>
          </w:tcPr>
          <w:p w14:paraId="6D4B575C">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58EDCB61">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m</w:t>
            </w:r>
          </w:p>
        </w:tc>
      </w:tr>
      <w:tr w14:paraId="1D7E8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33787EE9">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10</w:t>
            </w:r>
          </w:p>
        </w:tc>
        <w:tc>
          <w:tcPr>
            <w:tcW w:w="0" w:type="auto"/>
            <w:shd w:val="clear" w:color="auto" w:fill="auto"/>
            <w:tcMar>
              <w:top w:w="150" w:type="dxa"/>
              <w:left w:w="240" w:type="dxa"/>
              <w:bottom w:w="150" w:type="dxa"/>
              <w:right w:w="240" w:type="dxa"/>
            </w:tcMar>
            <w:vAlign w:val="center"/>
          </w:tcPr>
          <w:p w14:paraId="0B93A6B3">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横摇惯性矩</w:t>
            </w:r>
          </w:p>
        </w:tc>
        <w:tc>
          <w:tcPr>
            <w:tcW w:w="0" w:type="auto"/>
            <w:shd w:val="clear" w:color="auto" w:fill="auto"/>
            <w:tcMar>
              <w:top w:w="150" w:type="dxa"/>
              <w:left w:w="240" w:type="dxa"/>
              <w:bottom w:w="150" w:type="dxa"/>
              <w:right w:w="240" w:type="dxa"/>
            </w:tcMar>
            <w:vAlign w:val="center"/>
          </w:tcPr>
          <w:p w14:paraId="19D1055F">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Ixx</w:t>
            </w:r>
          </w:p>
        </w:tc>
        <w:tc>
          <w:tcPr>
            <w:tcW w:w="0" w:type="auto"/>
            <w:shd w:val="clear" w:color="auto" w:fill="auto"/>
            <w:tcMar>
              <w:top w:w="150" w:type="dxa"/>
              <w:left w:w="240" w:type="dxa"/>
              <w:bottom w:w="150" w:type="dxa"/>
              <w:right w:w="240" w:type="dxa"/>
            </w:tcMar>
            <w:vAlign w:val="center"/>
          </w:tcPr>
          <w:p w14:paraId="5E2B357C">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5611E3D0">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t·m²</w:t>
            </w:r>
          </w:p>
        </w:tc>
      </w:tr>
      <w:tr w14:paraId="1E434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52ABC355">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11</w:t>
            </w:r>
          </w:p>
        </w:tc>
        <w:tc>
          <w:tcPr>
            <w:tcW w:w="0" w:type="auto"/>
            <w:shd w:val="clear" w:color="auto" w:fill="auto"/>
            <w:tcMar>
              <w:top w:w="150" w:type="dxa"/>
              <w:left w:w="240" w:type="dxa"/>
              <w:bottom w:w="150" w:type="dxa"/>
              <w:right w:w="240" w:type="dxa"/>
            </w:tcMar>
            <w:vAlign w:val="center"/>
          </w:tcPr>
          <w:p w14:paraId="14C26B81">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纵摇惯性矩</w:t>
            </w:r>
          </w:p>
        </w:tc>
        <w:tc>
          <w:tcPr>
            <w:tcW w:w="0" w:type="auto"/>
            <w:shd w:val="clear" w:color="auto" w:fill="auto"/>
            <w:tcMar>
              <w:top w:w="150" w:type="dxa"/>
              <w:left w:w="240" w:type="dxa"/>
              <w:bottom w:w="150" w:type="dxa"/>
              <w:right w:w="240" w:type="dxa"/>
            </w:tcMar>
            <w:vAlign w:val="center"/>
          </w:tcPr>
          <w:p w14:paraId="5B94B48E">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Iyy</w:t>
            </w:r>
          </w:p>
        </w:tc>
        <w:tc>
          <w:tcPr>
            <w:tcW w:w="0" w:type="auto"/>
            <w:shd w:val="clear" w:color="auto" w:fill="auto"/>
            <w:tcMar>
              <w:top w:w="150" w:type="dxa"/>
              <w:left w:w="240" w:type="dxa"/>
              <w:bottom w:w="150" w:type="dxa"/>
              <w:right w:w="240" w:type="dxa"/>
            </w:tcMar>
            <w:vAlign w:val="center"/>
          </w:tcPr>
          <w:p w14:paraId="2F3A85B9">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2DB91E13">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t·m²</w:t>
            </w:r>
          </w:p>
        </w:tc>
      </w:tr>
      <w:tr w14:paraId="74566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854" w:type="dxa"/>
            <w:shd w:val="clear" w:color="auto" w:fill="auto"/>
            <w:tcMar>
              <w:top w:w="150" w:type="dxa"/>
              <w:left w:w="0" w:type="dxa"/>
              <w:bottom w:w="150" w:type="dxa"/>
              <w:right w:w="240" w:type="dxa"/>
            </w:tcMar>
            <w:vAlign w:val="center"/>
          </w:tcPr>
          <w:p w14:paraId="5D6B71F1">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12</w:t>
            </w:r>
          </w:p>
        </w:tc>
        <w:tc>
          <w:tcPr>
            <w:tcW w:w="0" w:type="auto"/>
            <w:shd w:val="clear" w:color="auto" w:fill="auto"/>
            <w:tcMar>
              <w:top w:w="150" w:type="dxa"/>
              <w:left w:w="240" w:type="dxa"/>
              <w:bottom w:w="150" w:type="dxa"/>
              <w:right w:w="240" w:type="dxa"/>
            </w:tcMar>
            <w:vAlign w:val="center"/>
          </w:tcPr>
          <w:p w14:paraId="54BEB141">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艏摇惯性矩</w:t>
            </w:r>
          </w:p>
        </w:tc>
        <w:tc>
          <w:tcPr>
            <w:tcW w:w="0" w:type="auto"/>
            <w:shd w:val="clear" w:color="auto" w:fill="auto"/>
            <w:tcMar>
              <w:top w:w="150" w:type="dxa"/>
              <w:left w:w="240" w:type="dxa"/>
              <w:bottom w:w="150" w:type="dxa"/>
              <w:right w:w="240" w:type="dxa"/>
            </w:tcMar>
            <w:vAlign w:val="center"/>
          </w:tcPr>
          <w:p w14:paraId="65BB272A">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Izz</w:t>
            </w:r>
          </w:p>
        </w:tc>
        <w:tc>
          <w:tcPr>
            <w:tcW w:w="0" w:type="auto"/>
            <w:shd w:val="clear" w:color="auto" w:fill="auto"/>
            <w:tcMar>
              <w:top w:w="150" w:type="dxa"/>
              <w:left w:w="240" w:type="dxa"/>
              <w:bottom w:w="150" w:type="dxa"/>
              <w:right w:w="240" w:type="dxa"/>
            </w:tcMar>
            <w:vAlign w:val="center"/>
          </w:tcPr>
          <w:p w14:paraId="23D1307D">
            <w:pPr>
              <w:keepNext w:val="0"/>
              <w:keepLines w:val="0"/>
              <w:pageBreakBefore w:val="0"/>
              <w:widowControl w:val="0"/>
              <w:kinsoku/>
              <w:wordWrap/>
              <w:overflowPunct/>
              <w:topLinePunct w:val="0"/>
              <w:autoSpaceDE/>
              <w:autoSpaceDN/>
              <w:bidi w:val="0"/>
              <w:adjustRightInd/>
              <w:snapToGrid/>
              <w:jc w:val="center"/>
              <w:textAlignment w:val="auto"/>
              <w:rPr>
                <w:rFonts w:hint="default"/>
              </w:rPr>
            </w:pPr>
          </w:p>
        </w:tc>
        <w:tc>
          <w:tcPr>
            <w:tcW w:w="0" w:type="auto"/>
            <w:shd w:val="clear" w:color="auto" w:fill="auto"/>
            <w:tcMar>
              <w:top w:w="150" w:type="dxa"/>
              <w:left w:w="240" w:type="dxa"/>
              <w:bottom w:w="150" w:type="dxa"/>
              <w:right w:w="0" w:type="dxa"/>
            </w:tcMar>
            <w:vAlign w:val="center"/>
          </w:tcPr>
          <w:p w14:paraId="2E383063">
            <w:pPr>
              <w:keepNext w:val="0"/>
              <w:keepLines w:val="0"/>
              <w:pageBreakBefore w:val="0"/>
              <w:widowControl w:val="0"/>
              <w:kinsoku/>
              <w:wordWrap/>
              <w:overflowPunct/>
              <w:topLinePunct w:val="0"/>
              <w:autoSpaceDE/>
              <w:autoSpaceDN/>
              <w:bidi w:val="0"/>
              <w:adjustRightInd/>
              <w:snapToGrid/>
              <w:jc w:val="center"/>
              <w:textAlignment w:val="auto"/>
              <w:rPr>
                <w:rFonts w:hint="default"/>
              </w:rPr>
            </w:pPr>
            <w:r>
              <w:rPr>
                <w:rFonts w:hint="default"/>
                <w:lang w:val="en-US" w:eastAsia="zh-CN"/>
              </w:rPr>
              <w:t>t·m²</w:t>
            </w:r>
          </w:p>
        </w:tc>
      </w:tr>
    </w:tbl>
    <w:p w14:paraId="5A6A3175">
      <w:pPr>
        <w:rPr>
          <w:rFonts w:hint="eastAsia"/>
        </w:rPr>
      </w:pPr>
    </w:p>
    <w:p w14:paraId="4DE854DD">
      <w:pPr>
        <w:pStyle w:val="3"/>
        <w:bidi w:val="0"/>
        <w:rPr>
          <w:rFonts w:hint="eastAsia"/>
        </w:rPr>
      </w:pPr>
      <w:r>
        <w:rPr>
          <w:rFonts w:hint="eastAsia"/>
        </w:rPr>
        <w:t xml:space="preserve"> </w:t>
      </w:r>
      <w:bookmarkStart w:id="27" w:name="_Toc30506"/>
      <w:r>
        <w:rPr>
          <w:rFonts w:hint="eastAsia"/>
        </w:rPr>
        <w:t>第5节 CFD软件及版本</w:t>
      </w:r>
      <w:bookmarkEnd w:id="27"/>
    </w:p>
    <w:p w14:paraId="05F8CB2F">
      <w:pPr>
        <w:pStyle w:val="4"/>
        <w:bidi w:val="0"/>
        <w:rPr>
          <w:rFonts w:hint="eastAsia"/>
        </w:rPr>
      </w:pPr>
      <w:r>
        <w:rPr>
          <w:rFonts w:hint="eastAsia"/>
        </w:rPr>
        <w:t xml:space="preserve"> 5.5.1 软件信息</w:t>
      </w:r>
    </w:p>
    <w:p w14:paraId="10E3EFAA">
      <w:pPr>
        <w:rPr>
          <w:rFonts w:hint="eastAsia"/>
        </w:rPr>
      </w:pPr>
      <w:r>
        <w:rPr>
          <w:rFonts w:hint="eastAsia"/>
        </w:rPr>
        <w:t>5.5.1.1 应包含对所用CFD软件/求解器名称、使用版本、网格划分方法及数值计算原理的描述。</w:t>
      </w:r>
    </w:p>
    <w:p w14:paraId="385711C6">
      <w:pPr>
        <w:pStyle w:val="3"/>
        <w:bidi w:val="0"/>
        <w:rPr>
          <w:rFonts w:hint="eastAsia"/>
        </w:rPr>
      </w:pPr>
      <w:r>
        <w:rPr>
          <w:rFonts w:hint="eastAsia"/>
        </w:rPr>
        <w:t xml:space="preserve"> </w:t>
      </w:r>
      <w:bookmarkStart w:id="28" w:name="_Toc1227"/>
      <w:r>
        <w:rPr>
          <w:rFonts w:hint="eastAsia"/>
        </w:rPr>
        <w:t>第6节 数值模型说明与验证</w:t>
      </w:r>
      <w:bookmarkEnd w:id="28"/>
    </w:p>
    <w:p w14:paraId="387603DC">
      <w:pPr>
        <w:pStyle w:val="4"/>
        <w:bidi w:val="0"/>
        <w:rPr>
          <w:rFonts w:hint="eastAsia"/>
        </w:rPr>
      </w:pPr>
      <w:r>
        <w:rPr>
          <w:rFonts w:hint="eastAsia"/>
        </w:rPr>
        <w:t xml:space="preserve"> 5.6.1 几何模型</w:t>
      </w:r>
    </w:p>
    <w:p w14:paraId="3F3D7488">
      <w:pPr>
        <w:rPr>
          <w:rFonts w:hint="eastAsia"/>
        </w:rPr>
      </w:pPr>
      <w:r>
        <w:rPr>
          <w:rFonts w:hint="eastAsia"/>
        </w:rPr>
        <w:t>5.6.1.1 应提供救生艇三维几何模型的详细描述，含CFD计算中使用的三维模型与设计数据（以静水力计算书为准）的对比表格，对比参数如下所示：</w:t>
      </w:r>
    </w:p>
    <w:p w14:paraId="0ADB7437">
      <w:pPr>
        <w:bidi w:val="0"/>
        <w:jc w:val="center"/>
      </w:pPr>
      <w:r>
        <w:t>表5.6.1.1-1 CFD几何模型与设计数据对比</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90"/>
        <w:gridCol w:w="1179"/>
        <w:gridCol w:w="975"/>
        <w:gridCol w:w="909"/>
        <w:gridCol w:w="1110"/>
        <w:gridCol w:w="1110"/>
        <w:gridCol w:w="1320"/>
      </w:tblGrid>
      <w:tr w14:paraId="24E7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jc w:val="center"/>
        </w:trPr>
        <w:tc>
          <w:tcPr>
            <w:tcW w:w="690" w:type="dxa"/>
            <w:shd w:val="clear" w:color="auto" w:fill="auto"/>
            <w:tcMar>
              <w:top w:w="150" w:type="dxa"/>
              <w:left w:w="0" w:type="dxa"/>
              <w:bottom w:w="150" w:type="dxa"/>
              <w:right w:w="240" w:type="dxa"/>
            </w:tcMar>
            <w:vAlign w:val="center"/>
          </w:tcPr>
          <w:p w14:paraId="3DE31330">
            <w:pPr>
              <w:bidi w:val="0"/>
              <w:jc w:val="center"/>
            </w:pPr>
            <w:r>
              <w:rPr>
                <w:rFonts w:hint="default"/>
                <w:lang w:val="en-US" w:eastAsia="zh-CN"/>
              </w:rPr>
              <w:t>序号</w:t>
            </w:r>
          </w:p>
        </w:tc>
        <w:tc>
          <w:tcPr>
            <w:tcW w:w="1179" w:type="dxa"/>
            <w:shd w:val="clear" w:color="auto" w:fill="auto"/>
            <w:tcMar>
              <w:top w:w="150" w:type="dxa"/>
              <w:left w:w="240" w:type="dxa"/>
              <w:bottom w:w="150" w:type="dxa"/>
              <w:right w:w="240" w:type="dxa"/>
            </w:tcMar>
            <w:vAlign w:val="center"/>
          </w:tcPr>
          <w:p w14:paraId="2D583618">
            <w:pPr>
              <w:bidi w:val="0"/>
              <w:jc w:val="center"/>
              <w:rPr>
                <w:rFonts w:hint="default"/>
              </w:rPr>
            </w:pPr>
            <w:r>
              <w:rPr>
                <w:rFonts w:hint="default"/>
                <w:lang w:val="en-US" w:eastAsia="zh-CN"/>
              </w:rPr>
              <w:t>项目</w:t>
            </w:r>
          </w:p>
        </w:tc>
        <w:tc>
          <w:tcPr>
            <w:tcW w:w="975" w:type="dxa"/>
            <w:shd w:val="clear" w:color="auto" w:fill="auto"/>
            <w:tcMar>
              <w:top w:w="150" w:type="dxa"/>
              <w:left w:w="240" w:type="dxa"/>
              <w:bottom w:w="150" w:type="dxa"/>
              <w:right w:w="240" w:type="dxa"/>
            </w:tcMar>
            <w:vAlign w:val="center"/>
          </w:tcPr>
          <w:p w14:paraId="3B1A27A7">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符号</w:t>
            </w:r>
          </w:p>
        </w:tc>
        <w:tc>
          <w:tcPr>
            <w:tcW w:w="909" w:type="dxa"/>
            <w:shd w:val="clear" w:color="auto" w:fill="auto"/>
            <w:tcMar>
              <w:top w:w="150" w:type="dxa"/>
              <w:left w:w="240" w:type="dxa"/>
              <w:bottom w:w="150" w:type="dxa"/>
              <w:right w:w="240" w:type="dxa"/>
            </w:tcMar>
            <w:vAlign w:val="center"/>
          </w:tcPr>
          <w:p w14:paraId="1EF4A1DB">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单位</w:t>
            </w:r>
          </w:p>
        </w:tc>
        <w:tc>
          <w:tcPr>
            <w:tcW w:w="0" w:type="auto"/>
            <w:shd w:val="clear" w:color="auto" w:fill="auto"/>
            <w:tcMar>
              <w:top w:w="150" w:type="dxa"/>
              <w:left w:w="240" w:type="dxa"/>
              <w:bottom w:w="150" w:type="dxa"/>
              <w:right w:w="240" w:type="dxa"/>
            </w:tcMar>
            <w:vAlign w:val="center"/>
          </w:tcPr>
          <w:p w14:paraId="774CFC4C">
            <w:pPr>
              <w:bidi w:val="0"/>
              <w:jc w:val="center"/>
              <w:rPr>
                <w:rFonts w:hint="default"/>
              </w:rPr>
            </w:pPr>
            <w:r>
              <w:rPr>
                <w:rFonts w:hint="default"/>
                <w:lang w:val="en-US" w:eastAsia="zh-CN"/>
              </w:rPr>
              <w:t>设计值</w:t>
            </w:r>
          </w:p>
        </w:tc>
        <w:tc>
          <w:tcPr>
            <w:tcW w:w="0" w:type="auto"/>
            <w:shd w:val="clear" w:color="auto" w:fill="auto"/>
            <w:tcMar>
              <w:top w:w="150" w:type="dxa"/>
              <w:left w:w="240" w:type="dxa"/>
              <w:bottom w:w="150" w:type="dxa"/>
              <w:right w:w="240" w:type="dxa"/>
            </w:tcMar>
            <w:vAlign w:val="center"/>
          </w:tcPr>
          <w:p w14:paraId="3BCE6894">
            <w:pPr>
              <w:bidi w:val="0"/>
              <w:jc w:val="center"/>
              <w:rPr>
                <w:rFonts w:hint="default"/>
              </w:rPr>
            </w:pPr>
            <w:r>
              <w:rPr>
                <w:rFonts w:hint="default"/>
                <w:lang w:val="en-US" w:eastAsia="zh-CN"/>
              </w:rPr>
              <w:t>模型值</w:t>
            </w:r>
          </w:p>
        </w:tc>
        <w:tc>
          <w:tcPr>
            <w:tcW w:w="0" w:type="auto"/>
            <w:shd w:val="clear" w:color="auto" w:fill="auto"/>
            <w:tcMar>
              <w:top w:w="150" w:type="dxa"/>
              <w:left w:w="240" w:type="dxa"/>
              <w:bottom w:w="150" w:type="dxa"/>
              <w:right w:w="240" w:type="dxa"/>
            </w:tcMar>
            <w:vAlign w:val="center"/>
          </w:tcPr>
          <w:p w14:paraId="650578B5">
            <w:pPr>
              <w:bidi w:val="0"/>
              <w:jc w:val="center"/>
              <w:rPr>
                <w:rFonts w:hint="default"/>
              </w:rPr>
            </w:pPr>
            <w:r>
              <w:rPr>
                <w:rFonts w:hint="default"/>
                <w:lang w:val="en-US" w:eastAsia="zh-CN"/>
              </w:rPr>
              <w:t>相对误差</w:t>
            </w:r>
          </w:p>
        </w:tc>
      </w:tr>
      <w:tr w14:paraId="4CFD5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90" w:type="dxa"/>
            <w:shd w:val="clear" w:color="auto" w:fill="auto"/>
            <w:tcMar>
              <w:top w:w="150" w:type="dxa"/>
              <w:left w:w="0" w:type="dxa"/>
              <w:bottom w:w="150" w:type="dxa"/>
              <w:right w:w="240" w:type="dxa"/>
            </w:tcMar>
            <w:vAlign w:val="center"/>
          </w:tcPr>
          <w:p w14:paraId="2E5F1C55">
            <w:pPr>
              <w:bidi w:val="0"/>
              <w:jc w:val="center"/>
            </w:pPr>
            <w:r>
              <w:rPr>
                <w:rFonts w:hint="default"/>
                <w:lang w:val="en-US" w:eastAsia="zh-CN"/>
              </w:rPr>
              <w:t>1</w:t>
            </w:r>
          </w:p>
        </w:tc>
        <w:tc>
          <w:tcPr>
            <w:tcW w:w="1179" w:type="dxa"/>
            <w:shd w:val="clear" w:color="auto" w:fill="auto"/>
            <w:tcMar>
              <w:top w:w="150" w:type="dxa"/>
              <w:left w:w="240" w:type="dxa"/>
              <w:bottom w:w="150" w:type="dxa"/>
              <w:right w:w="240" w:type="dxa"/>
            </w:tcMar>
            <w:vAlign w:val="center"/>
          </w:tcPr>
          <w:p w14:paraId="10B0FC24">
            <w:pPr>
              <w:bidi w:val="0"/>
              <w:jc w:val="center"/>
              <w:rPr>
                <w:rFonts w:hint="default"/>
              </w:rPr>
            </w:pPr>
            <w:r>
              <w:rPr>
                <w:rFonts w:hint="default"/>
                <w:lang w:val="en-US" w:eastAsia="zh-CN"/>
              </w:rPr>
              <w:t>水线长</w:t>
            </w:r>
          </w:p>
        </w:tc>
        <w:tc>
          <w:tcPr>
            <w:tcW w:w="975" w:type="dxa"/>
            <w:shd w:val="clear" w:color="auto" w:fill="auto"/>
            <w:tcMar>
              <w:top w:w="150" w:type="dxa"/>
              <w:left w:w="240" w:type="dxa"/>
              <w:bottom w:w="150" w:type="dxa"/>
              <w:right w:w="240" w:type="dxa"/>
            </w:tcMar>
            <w:vAlign w:val="center"/>
          </w:tcPr>
          <w:p w14:paraId="17565456">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Lwl</w:t>
            </w:r>
          </w:p>
        </w:tc>
        <w:tc>
          <w:tcPr>
            <w:tcW w:w="909" w:type="dxa"/>
            <w:shd w:val="clear" w:color="auto" w:fill="auto"/>
            <w:tcMar>
              <w:top w:w="150" w:type="dxa"/>
              <w:left w:w="240" w:type="dxa"/>
              <w:bottom w:w="150" w:type="dxa"/>
              <w:right w:w="240" w:type="dxa"/>
            </w:tcMar>
            <w:vAlign w:val="center"/>
          </w:tcPr>
          <w:p w14:paraId="1B1474B2">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m</w:t>
            </w:r>
          </w:p>
        </w:tc>
        <w:tc>
          <w:tcPr>
            <w:tcW w:w="0" w:type="auto"/>
            <w:shd w:val="clear" w:color="auto" w:fill="auto"/>
            <w:tcMar>
              <w:top w:w="150" w:type="dxa"/>
              <w:left w:w="240" w:type="dxa"/>
              <w:bottom w:w="150" w:type="dxa"/>
              <w:right w:w="240" w:type="dxa"/>
            </w:tcMar>
            <w:vAlign w:val="center"/>
          </w:tcPr>
          <w:p w14:paraId="5222F867">
            <w:pPr>
              <w:bidi w:val="0"/>
              <w:jc w:val="center"/>
              <w:rPr>
                <w:rFonts w:hint="default"/>
              </w:rPr>
            </w:pPr>
          </w:p>
        </w:tc>
        <w:tc>
          <w:tcPr>
            <w:tcW w:w="0" w:type="auto"/>
            <w:shd w:val="clear" w:color="auto" w:fill="auto"/>
            <w:tcMar>
              <w:top w:w="150" w:type="dxa"/>
              <w:left w:w="240" w:type="dxa"/>
              <w:bottom w:w="150" w:type="dxa"/>
              <w:right w:w="240" w:type="dxa"/>
            </w:tcMar>
            <w:vAlign w:val="center"/>
          </w:tcPr>
          <w:p w14:paraId="3EA9A2AC">
            <w:pPr>
              <w:bidi w:val="0"/>
              <w:jc w:val="center"/>
              <w:rPr>
                <w:rFonts w:hint="default"/>
              </w:rPr>
            </w:pPr>
          </w:p>
        </w:tc>
        <w:tc>
          <w:tcPr>
            <w:tcW w:w="0" w:type="auto"/>
            <w:shd w:val="clear" w:color="auto" w:fill="auto"/>
            <w:tcMar>
              <w:top w:w="150" w:type="dxa"/>
              <w:left w:w="240" w:type="dxa"/>
              <w:bottom w:w="150" w:type="dxa"/>
              <w:right w:w="0" w:type="dxa"/>
            </w:tcMar>
            <w:vAlign w:val="center"/>
          </w:tcPr>
          <w:p w14:paraId="7BE662A8">
            <w:pPr>
              <w:bidi w:val="0"/>
              <w:jc w:val="center"/>
              <w:rPr>
                <w:rFonts w:hint="default"/>
              </w:rPr>
            </w:pPr>
          </w:p>
        </w:tc>
      </w:tr>
      <w:tr w14:paraId="420BF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90" w:type="dxa"/>
            <w:shd w:val="clear" w:color="auto" w:fill="auto"/>
            <w:tcMar>
              <w:top w:w="150" w:type="dxa"/>
              <w:left w:w="0" w:type="dxa"/>
              <w:bottom w:w="150" w:type="dxa"/>
              <w:right w:w="240" w:type="dxa"/>
            </w:tcMar>
            <w:vAlign w:val="center"/>
          </w:tcPr>
          <w:p w14:paraId="2782E0CB">
            <w:pPr>
              <w:bidi w:val="0"/>
              <w:jc w:val="center"/>
              <w:rPr>
                <w:rFonts w:hint="default"/>
              </w:rPr>
            </w:pPr>
            <w:r>
              <w:rPr>
                <w:rFonts w:hint="default"/>
                <w:lang w:val="en-US" w:eastAsia="zh-CN"/>
              </w:rPr>
              <w:t>2</w:t>
            </w:r>
          </w:p>
        </w:tc>
        <w:tc>
          <w:tcPr>
            <w:tcW w:w="1179" w:type="dxa"/>
            <w:shd w:val="clear" w:color="auto" w:fill="auto"/>
            <w:tcMar>
              <w:top w:w="150" w:type="dxa"/>
              <w:left w:w="240" w:type="dxa"/>
              <w:bottom w:w="150" w:type="dxa"/>
              <w:right w:w="240" w:type="dxa"/>
            </w:tcMar>
            <w:vAlign w:val="center"/>
          </w:tcPr>
          <w:p w14:paraId="2837A83B">
            <w:pPr>
              <w:bidi w:val="0"/>
              <w:jc w:val="center"/>
              <w:rPr>
                <w:rFonts w:hint="default"/>
              </w:rPr>
            </w:pPr>
            <w:r>
              <w:rPr>
                <w:rFonts w:hint="default"/>
                <w:lang w:val="en-US" w:eastAsia="zh-CN"/>
              </w:rPr>
              <w:t>型宽</w:t>
            </w:r>
          </w:p>
        </w:tc>
        <w:tc>
          <w:tcPr>
            <w:tcW w:w="975" w:type="dxa"/>
            <w:shd w:val="clear" w:color="auto" w:fill="auto"/>
            <w:tcMar>
              <w:top w:w="150" w:type="dxa"/>
              <w:left w:w="240" w:type="dxa"/>
              <w:bottom w:w="150" w:type="dxa"/>
              <w:right w:w="240" w:type="dxa"/>
            </w:tcMar>
            <w:vAlign w:val="center"/>
          </w:tcPr>
          <w:p w14:paraId="6D6E762B">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B</w:t>
            </w:r>
          </w:p>
        </w:tc>
        <w:tc>
          <w:tcPr>
            <w:tcW w:w="909" w:type="dxa"/>
            <w:shd w:val="clear" w:color="auto" w:fill="auto"/>
            <w:tcMar>
              <w:top w:w="150" w:type="dxa"/>
              <w:left w:w="240" w:type="dxa"/>
              <w:bottom w:w="150" w:type="dxa"/>
              <w:right w:w="240" w:type="dxa"/>
            </w:tcMar>
            <w:vAlign w:val="center"/>
          </w:tcPr>
          <w:p w14:paraId="322E09B6">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m</w:t>
            </w:r>
          </w:p>
        </w:tc>
        <w:tc>
          <w:tcPr>
            <w:tcW w:w="0" w:type="auto"/>
            <w:shd w:val="clear" w:color="auto" w:fill="auto"/>
            <w:tcMar>
              <w:top w:w="150" w:type="dxa"/>
              <w:left w:w="240" w:type="dxa"/>
              <w:bottom w:w="150" w:type="dxa"/>
              <w:right w:w="240" w:type="dxa"/>
            </w:tcMar>
            <w:vAlign w:val="center"/>
          </w:tcPr>
          <w:p w14:paraId="7640D181">
            <w:pPr>
              <w:bidi w:val="0"/>
              <w:jc w:val="center"/>
              <w:rPr>
                <w:rFonts w:hint="default"/>
              </w:rPr>
            </w:pPr>
          </w:p>
        </w:tc>
        <w:tc>
          <w:tcPr>
            <w:tcW w:w="0" w:type="auto"/>
            <w:shd w:val="clear" w:color="auto" w:fill="auto"/>
            <w:tcMar>
              <w:top w:w="150" w:type="dxa"/>
              <w:left w:w="240" w:type="dxa"/>
              <w:bottom w:w="150" w:type="dxa"/>
              <w:right w:w="240" w:type="dxa"/>
            </w:tcMar>
            <w:vAlign w:val="center"/>
          </w:tcPr>
          <w:p w14:paraId="3B73FFB8">
            <w:pPr>
              <w:bidi w:val="0"/>
              <w:jc w:val="center"/>
              <w:rPr>
                <w:rFonts w:hint="default"/>
              </w:rPr>
            </w:pPr>
          </w:p>
        </w:tc>
        <w:tc>
          <w:tcPr>
            <w:tcW w:w="0" w:type="auto"/>
            <w:shd w:val="clear" w:color="auto" w:fill="auto"/>
            <w:tcMar>
              <w:top w:w="150" w:type="dxa"/>
              <w:left w:w="240" w:type="dxa"/>
              <w:bottom w:w="150" w:type="dxa"/>
              <w:right w:w="0" w:type="dxa"/>
            </w:tcMar>
            <w:vAlign w:val="center"/>
          </w:tcPr>
          <w:p w14:paraId="2C4D87AE">
            <w:pPr>
              <w:bidi w:val="0"/>
              <w:jc w:val="center"/>
              <w:rPr>
                <w:rFonts w:hint="default"/>
              </w:rPr>
            </w:pPr>
          </w:p>
        </w:tc>
      </w:tr>
      <w:tr w14:paraId="7E15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90" w:type="dxa"/>
            <w:shd w:val="clear" w:color="auto" w:fill="auto"/>
            <w:tcMar>
              <w:top w:w="150" w:type="dxa"/>
              <w:left w:w="0" w:type="dxa"/>
              <w:bottom w:w="150" w:type="dxa"/>
              <w:right w:w="240" w:type="dxa"/>
            </w:tcMar>
            <w:vAlign w:val="center"/>
          </w:tcPr>
          <w:p w14:paraId="72A3826D">
            <w:pPr>
              <w:bidi w:val="0"/>
              <w:jc w:val="center"/>
              <w:rPr>
                <w:rFonts w:hint="default"/>
              </w:rPr>
            </w:pPr>
            <w:r>
              <w:rPr>
                <w:rFonts w:hint="default"/>
                <w:lang w:val="en-US" w:eastAsia="zh-CN"/>
              </w:rPr>
              <w:t>3</w:t>
            </w:r>
          </w:p>
        </w:tc>
        <w:tc>
          <w:tcPr>
            <w:tcW w:w="1179" w:type="dxa"/>
            <w:shd w:val="clear" w:color="auto" w:fill="auto"/>
            <w:tcMar>
              <w:top w:w="150" w:type="dxa"/>
              <w:left w:w="240" w:type="dxa"/>
              <w:bottom w:w="150" w:type="dxa"/>
              <w:right w:w="240" w:type="dxa"/>
            </w:tcMar>
            <w:vAlign w:val="center"/>
          </w:tcPr>
          <w:p w14:paraId="1F850D76">
            <w:pPr>
              <w:bidi w:val="0"/>
              <w:jc w:val="center"/>
              <w:rPr>
                <w:rFonts w:hint="default"/>
              </w:rPr>
            </w:pPr>
            <w:r>
              <w:rPr>
                <w:rFonts w:hint="default"/>
                <w:lang w:val="en-US" w:eastAsia="zh-CN"/>
              </w:rPr>
              <w:t>型深</w:t>
            </w:r>
          </w:p>
        </w:tc>
        <w:tc>
          <w:tcPr>
            <w:tcW w:w="975" w:type="dxa"/>
            <w:shd w:val="clear" w:color="auto" w:fill="auto"/>
            <w:tcMar>
              <w:top w:w="150" w:type="dxa"/>
              <w:left w:w="240" w:type="dxa"/>
              <w:bottom w:w="150" w:type="dxa"/>
              <w:right w:w="240" w:type="dxa"/>
            </w:tcMar>
            <w:vAlign w:val="center"/>
          </w:tcPr>
          <w:p w14:paraId="0F599839">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D</w:t>
            </w:r>
          </w:p>
        </w:tc>
        <w:tc>
          <w:tcPr>
            <w:tcW w:w="909" w:type="dxa"/>
            <w:shd w:val="clear" w:color="auto" w:fill="auto"/>
            <w:tcMar>
              <w:top w:w="150" w:type="dxa"/>
              <w:left w:w="240" w:type="dxa"/>
              <w:bottom w:w="150" w:type="dxa"/>
              <w:right w:w="240" w:type="dxa"/>
            </w:tcMar>
            <w:vAlign w:val="center"/>
          </w:tcPr>
          <w:p w14:paraId="16FD9213">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m</w:t>
            </w:r>
          </w:p>
        </w:tc>
        <w:tc>
          <w:tcPr>
            <w:tcW w:w="0" w:type="auto"/>
            <w:shd w:val="clear" w:color="auto" w:fill="auto"/>
            <w:tcMar>
              <w:top w:w="150" w:type="dxa"/>
              <w:left w:w="240" w:type="dxa"/>
              <w:bottom w:w="150" w:type="dxa"/>
              <w:right w:w="240" w:type="dxa"/>
            </w:tcMar>
            <w:vAlign w:val="center"/>
          </w:tcPr>
          <w:p w14:paraId="19BD70E7">
            <w:pPr>
              <w:bidi w:val="0"/>
              <w:jc w:val="center"/>
              <w:rPr>
                <w:rFonts w:hint="default"/>
              </w:rPr>
            </w:pPr>
          </w:p>
        </w:tc>
        <w:tc>
          <w:tcPr>
            <w:tcW w:w="0" w:type="auto"/>
            <w:shd w:val="clear" w:color="auto" w:fill="auto"/>
            <w:tcMar>
              <w:top w:w="150" w:type="dxa"/>
              <w:left w:w="240" w:type="dxa"/>
              <w:bottom w:w="150" w:type="dxa"/>
              <w:right w:w="240" w:type="dxa"/>
            </w:tcMar>
            <w:vAlign w:val="center"/>
          </w:tcPr>
          <w:p w14:paraId="109A9902">
            <w:pPr>
              <w:bidi w:val="0"/>
              <w:jc w:val="center"/>
              <w:rPr>
                <w:rFonts w:hint="default"/>
              </w:rPr>
            </w:pPr>
          </w:p>
        </w:tc>
        <w:tc>
          <w:tcPr>
            <w:tcW w:w="0" w:type="auto"/>
            <w:shd w:val="clear" w:color="auto" w:fill="auto"/>
            <w:tcMar>
              <w:top w:w="150" w:type="dxa"/>
              <w:left w:w="240" w:type="dxa"/>
              <w:bottom w:w="150" w:type="dxa"/>
              <w:right w:w="0" w:type="dxa"/>
            </w:tcMar>
            <w:vAlign w:val="center"/>
          </w:tcPr>
          <w:p w14:paraId="18F43978">
            <w:pPr>
              <w:bidi w:val="0"/>
              <w:jc w:val="center"/>
              <w:rPr>
                <w:rFonts w:hint="default"/>
              </w:rPr>
            </w:pPr>
          </w:p>
        </w:tc>
      </w:tr>
      <w:tr w14:paraId="61AB3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90" w:type="dxa"/>
            <w:shd w:val="clear" w:color="auto" w:fill="auto"/>
            <w:tcMar>
              <w:top w:w="150" w:type="dxa"/>
              <w:left w:w="0" w:type="dxa"/>
              <w:bottom w:w="150" w:type="dxa"/>
              <w:right w:w="240" w:type="dxa"/>
            </w:tcMar>
            <w:vAlign w:val="center"/>
          </w:tcPr>
          <w:p w14:paraId="36AF0BDA">
            <w:pPr>
              <w:bidi w:val="0"/>
              <w:jc w:val="center"/>
              <w:rPr>
                <w:rFonts w:hint="default"/>
              </w:rPr>
            </w:pPr>
            <w:r>
              <w:rPr>
                <w:rFonts w:hint="default"/>
                <w:lang w:val="en-US" w:eastAsia="zh-CN"/>
              </w:rPr>
              <w:t>4</w:t>
            </w:r>
          </w:p>
        </w:tc>
        <w:tc>
          <w:tcPr>
            <w:tcW w:w="1179" w:type="dxa"/>
            <w:shd w:val="clear" w:color="auto" w:fill="auto"/>
            <w:tcMar>
              <w:top w:w="150" w:type="dxa"/>
              <w:left w:w="240" w:type="dxa"/>
              <w:bottom w:w="150" w:type="dxa"/>
              <w:right w:w="240" w:type="dxa"/>
            </w:tcMar>
            <w:vAlign w:val="center"/>
          </w:tcPr>
          <w:p w14:paraId="46390088">
            <w:pPr>
              <w:bidi w:val="0"/>
              <w:jc w:val="center"/>
              <w:rPr>
                <w:rFonts w:hint="default"/>
              </w:rPr>
            </w:pPr>
            <w:r>
              <w:rPr>
                <w:rFonts w:hint="default"/>
                <w:lang w:val="en-US" w:eastAsia="zh-CN"/>
              </w:rPr>
              <w:t>型排水体积</w:t>
            </w:r>
          </w:p>
        </w:tc>
        <w:tc>
          <w:tcPr>
            <w:tcW w:w="975" w:type="dxa"/>
            <w:shd w:val="clear" w:color="auto" w:fill="auto"/>
            <w:tcMar>
              <w:top w:w="150" w:type="dxa"/>
              <w:left w:w="240" w:type="dxa"/>
              <w:bottom w:w="150" w:type="dxa"/>
              <w:right w:w="240" w:type="dxa"/>
            </w:tcMar>
            <w:vAlign w:val="center"/>
          </w:tcPr>
          <w:p w14:paraId="35B372A3">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w:t>
            </w:r>
          </w:p>
        </w:tc>
        <w:tc>
          <w:tcPr>
            <w:tcW w:w="909" w:type="dxa"/>
            <w:shd w:val="clear" w:color="auto" w:fill="auto"/>
            <w:tcMar>
              <w:top w:w="150" w:type="dxa"/>
              <w:left w:w="240" w:type="dxa"/>
              <w:bottom w:w="150" w:type="dxa"/>
              <w:right w:w="240" w:type="dxa"/>
            </w:tcMar>
            <w:vAlign w:val="center"/>
          </w:tcPr>
          <w:p w14:paraId="2D39E0AF">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m³</w:t>
            </w:r>
          </w:p>
        </w:tc>
        <w:tc>
          <w:tcPr>
            <w:tcW w:w="0" w:type="auto"/>
            <w:shd w:val="clear" w:color="auto" w:fill="auto"/>
            <w:tcMar>
              <w:top w:w="150" w:type="dxa"/>
              <w:left w:w="240" w:type="dxa"/>
              <w:bottom w:w="150" w:type="dxa"/>
              <w:right w:w="240" w:type="dxa"/>
            </w:tcMar>
            <w:vAlign w:val="center"/>
          </w:tcPr>
          <w:p w14:paraId="705FF637">
            <w:pPr>
              <w:bidi w:val="0"/>
              <w:jc w:val="center"/>
              <w:rPr>
                <w:rFonts w:hint="default"/>
              </w:rPr>
            </w:pPr>
          </w:p>
        </w:tc>
        <w:tc>
          <w:tcPr>
            <w:tcW w:w="0" w:type="auto"/>
            <w:shd w:val="clear" w:color="auto" w:fill="auto"/>
            <w:tcMar>
              <w:top w:w="150" w:type="dxa"/>
              <w:left w:w="240" w:type="dxa"/>
              <w:bottom w:w="150" w:type="dxa"/>
              <w:right w:w="240" w:type="dxa"/>
            </w:tcMar>
            <w:vAlign w:val="center"/>
          </w:tcPr>
          <w:p w14:paraId="68059C40">
            <w:pPr>
              <w:bidi w:val="0"/>
              <w:jc w:val="center"/>
              <w:rPr>
                <w:rFonts w:hint="default"/>
              </w:rPr>
            </w:pPr>
          </w:p>
        </w:tc>
        <w:tc>
          <w:tcPr>
            <w:tcW w:w="0" w:type="auto"/>
            <w:shd w:val="clear" w:color="auto" w:fill="auto"/>
            <w:tcMar>
              <w:top w:w="150" w:type="dxa"/>
              <w:left w:w="240" w:type="dxa"/>
              <w:bottom w:w="150" w:type="dxa"/>
              <w:right w:w="0" w:type="dxa"/>
            </w:tcMar>
            <w:vAlign w:val="center"/>
          </w:tcPr>
          <w:p w14:paraId="0ABC53CD">
            <w:pPr>
              <w:bidi w:val="0"/>
              <w:jc w:val="center"/>
              <w:rPr>
                <w:rFonts w:hint="default"/>
              </w:rPr>
            </w:pPr>
          </w:p>
        </w:tc>
      </w:tr>
      <w:tr w14:paraId="64639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90" w:type="dxa"/>
            <w:shd w:val="clear" w:color="auto" w:fill="auto"/>
            <w:tcMar>
              <w:top w:w="150" w:type="dxa"/>
              <w:left w:w="0" w:type="dxa"/>
              <w:bottom w:w="150" w:type="dxa"/>
              <w:right w:w="240" w:type="dxa"/>
            </w:tcMar>
            <w:vAlign w:val="center"/>
          </w:tcPr>
          <w:p w14:paraId="3C4C2DC0">
            <w:pPr>
              <w:bidi w:val="0"/>
              <w:jc w:val="center"/>
              <w:rPr>
                <w:rFonts w:hint="default"/>
              </w:rPr>
            </w:pPr>
            <w:r>
              <w:rPr>
                <w:rFonts w:hint="default"/>
                <w:lang w:val="en-US" w:eastAsia="zh-CN"/>
              </w:rPr>
              <w:t>5</w:t>
            </w:r>
          </w:p>
        </w:tc>
        <w:tc>
          <w:tcPr>
            <w:tcW w:w="1179" w:type="dxa"/>
            <w:shd w:val="clear" w:color="auto" w:fill="auto"/>
            <w:tcMar>
              <w:top w:w="150" w:type="dxa"/>
              <w:left w:w="240" w:type="dxa"/>
              <w:bottom w:w="150" w:type="dxa"/>
              <w:right w:w="240" w:type="dxa"/>
            </w:tcMar>
            <w:vAlign w:val="center"/>
          </w:tcPr>
          <w:p w14:paraId="4D683951">
            <w:pPr>
              <w:bidi w:val="0"/>
              <w:jc w:val="center"/>
              <w:rPr>
                <w:rFonts w:hint="default"/>
              </w:rPr>
            </w:pPr>
            <w:r>
              <w:rPr>
                <w:rFonts w:hint="default"/>
                <w:lang w:val="en-US" w:eastAsia="zh-CN"/>
              </w:rPr>
              <w:t>湿表面积</w:t>
            </w:r>
          </w:p>
        </w:tc>
        <w:tc>
          <w:tcPr>
            <w:tcW w:w="975" w:type="dxa"/>
            <w:shd w:val="clear" w:color="auto" w:fill="auto"/>
            <w:tcMar>
              <w:top w:w="150" w:type="dxa"/>
              <w:left w:w="240" w:type="dxa"/>
              <w:bottom w:w="150" w:type="dxa"/>
              <w:right w:w="240" w:type="dxa"/>
            </w:tcMar>
            <w:vAlign w:val="center"/>
          </w:tcPr>
          <w:p w14:paraId="71A5C578">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Sw</w:t>
            </w:r>
          </w:p>
        </w:tc>
        <w:tc>
          <w:tcPr>
            <w:tcW w:w="909" w:type="dxa"/>
            <w:shd w:val="clear" w:color="auto" w:fill="auto"/>
            <w:tcMar>
              <w:top w:w="150" w:type="dxa"/>
              <w:left w:w="240" w:type="dxa"/>
              <w:bottom w:w="150" w:type="dxa"/>
              <w:right w:w="240" w:type="dxa"/>
            </w:tcMar>
            <w:vAlign w:val="center"/>
          </w:tcPr>
          <w:p w14:paraId="1F6CBA55">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m²</w:t>
            </w:r>
          </w:p>
        </w:tc>
        <w:tc>
          <w:tcPr>
            <w:tcW w:w="0" w:type="auto"/>
            <w:shd w:val="clear" w:color="auto" w:fill="auto"/>
            <w:tcMar>
              <w:top w:w="150" w:type="dxa"/>
              <w:left w:w="240" w:type="dxa"/>
              <w:bottom w:w="150" w:type="dxa"/>
              <w:right w:w="240" w:type="dxa"/>
            </w:tcMar>
            <w:vAlign w:val="center"/>
          </w:tcPr>
          <w:p w14:paraId="4993CC5C">
            <w:pPr>
              <w:bidi w:val="0"/>
              <w:jc w:val="center"/>
              <w:rPr>
                <w:rFonts w:hint="default"/>
              </w:rPr>
            </w:pPr>
          </w:p>
        </w:tc>
        <w:tc>
          <w:tcPr>
            <w:tcW w:w="0" w:type="auto"/>
            <w:shd w:val="clear" w:color="auto" w:fill="auto"/>
            <w:tcMar>
              <w:top w:w="150" w:type="dxa"/>
              <w:left w:w="240" w:type="dxa"/>
              <w:bottom w:w="150" w:type="dxa"/>
              <w:right w:w="240" w:type="dxa"/>
            </w:tcMar>
            <w:vAlign w:val="center"/>
          </w:tcPr>
          <w:p w14:paraId="68D77564">
            <w:pPr>
              <w:bidi w:val="0"/>
              <w:jc w:val="center"/>
              <w:rPr>
                <w:rFonts w:hint="default"/>
              </w:rPr>
            </w:pPr>
          </w:p>
        </w:tc>
        <w:tc>
          <w:tcPr>
            <w:tcW w:w="0" w:type="auto"/>
            <w:shd w:val="clear" w:color="auto" w:fill="auto"/>
            <w:tcMar>
              <w:top w:w="150" w:type="dxa"/>
              <w:left w:w="240" w:type="dxa"/>
              <w:bottom w:w="150" w:type="dxa"/>
              <w:right w:w="0" w:type="dxa"/>
            </w:tcMar>
            <w:vAlign w:val="center"/>
          </w:tcPr>
          <w:p w14:paraId="78F4A028">
            <w:pPr>
              <w:bidi w:val="0"/>
              <w:jc w:val="center"/>
              <w:rPr>
                <w:rFonts w:hint="default"/>
              </w:rPr>
            </w:pPr>
          </w:p>
        </w:tc>
      </w:tr>
      <w:tr w14:paraId="40906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90" w:type="dxa"/>
            <w:shd w:val="clear" w:color="auto" w:fill="auto"/>
            <w:tcMar>
              <w:top w:w="150" w:type="dxa"/>
              <w:left w:w="0" w:type="dxa"/>
              <w:bottom w:w="150" w:type="dxa"/>
              <w:right w:w="240" w:type="dxa"/>
            </w:tcMar>
            <w:vAlign w:val="center"/>
          </w:tcPr>
          <w:p w14:paraId="2893F63D">
            <w:pPr>
              <w:bidi w:val="0"/>
              <w:jc w:val="center"/>
              <w:rPr>
                <w:rFonts w:hint="default"/>
              </w:rPr>
            </w:pPr>
            <w:r>
              <w:rPr>
                <w:rFonts w:hint="default"/>
                <w:lang w:val="en-US" w:eastAsia="zh-CN"/>
              </w:rPr>
              <w:t>6</w:t>
            </w:r>
          </w:p>
        </w:tc>
        <w:tc>
          <w:tcPr>
            <w:tcW w:w="1179" w:type="dxa"/>
            <w:shd w:val="clear" w:color="auto" w:fill="auto"/>
            <w:tcMar>
              <w:top w:w="150" w:type="dxa"/>
              <w:left w:w="240" w:type="dxa"/>
              <w:bottom w:w="150" w:type="dxa"/>
              <w:right w:w="240" w:type="dxa"/>
            </w:tcMar>
            <w:vAlign w:val="center"/>
          </w:tcPr>
          <w:p w14:paraId="7B760D96">
            <w:pPr>
              <w:bidi w:val="0"/>
              <w:jc w:val="center"/>
              <w:rPr>
                <w:rFonts w:hint="default"/>
              </w:rPr>
            </w:pPr>
            <w:r>
              <w:rPr>
                <w:rFonts w:hint="default"/>
                <w:lang w:val="en-US" w:eastAsia="zh-CN"/>
              </w:rPr>
              <w:t>重心纵向位置</w:t>
            </w:r>
          </w:p>
        </w:tc>
        <w:tc>
          <w:tcPr>
            <w:tcW w:w="975" w:type="dxa"/>
            <w:shd w:val="clear" w:color="auto" w:fill="auto"/>
            <w:tcMar>
              <w:top w:w="150" w:type="dxa"/>
              <w:left w:w="240" w:type="dxa"/>
              <w:bottom w:w="150" w:type="dxa"/>
              <w:right w:w="240" w:type="dxa"/>
            </w:tcMar>
            <w:vAlign w:val="center"/>
          </w:tcPr>
          <w:p w14:paraId="6494EE39">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LCG</w:t>
            </w:r>
          </w:p>
        </w:tc>
        <w:tc>
          <w:tcPr>
            <w:tcW w:w="909" w:type="dxa"/>
            <w:shd w:val="clear" w:color="auto" w:fill="auto"/>
            <w:tcMar>
              <w:top w:w="150" w:type="dxa"/>
              <w:left w:w="240" w:type="dxa"/>
              <w:bottom w:w="150" w:type="dxa"/>
              <w:right w:w="240" w:type="dxa"/>
            </w:tcMar>
            <w:vAlign w:val="center"/>
          </w:tcPr>
          <w:p w14:paraId="4D905427">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m</w:t>
            </w:r>
          </w:p>
        </w:tc>
        <w:tc>
          <w:tcPr>
            <w:tcW w:w="0" w:type="auto"/>
            <w:shd w:val="clear" w:color="auto" w:fill="auto"/>
            <w:tcMar>
              <w:top w:w="150" w:type="dxa"/>
              <w:left w:w="240" w:type="dxa"/>
              <w:bottom w:w="150" w:type="dxa"/>
              <w:right w:w="240" w:type="dxa"/>
            </w:tcMar>
            <w:vAlign w:val="center"/>
          </w:tcPr>
          <w:p w14:paraId="1F676A5A">
            <w:pPr>
              <w:bidi w:val="0"/>
              <w:jc w:val="center"/>
              <w:rPr>
                <w:rFonts w:hint="default"/>
              </w:rPr>
            </w:pPr>
          </w:p>
        </w:tc>
        <w:tc>
          <w:tcPr>
            <w:tcW w:w="0" w:type="auto"/>
            <w:shd w:val="clear" w:color="auto" w:fill="auto"/>
            <w:tcMar>
              <w:top w:w="150" w:type="dxa"/>
              <w:left w:w="240" w:type="dxa"/>
              <w:bottom w:w="150" w:type="dxa"/>
              <w:right w:w="240" w:type="dxa"/>
            </w:tcMar>
            <w:vAlign w:val="center"/>
          </w:tcPr>
          <w:p w14:paraId="1862A39F">
            <w:pPr>
              <w:bidi w:val="0"/>
              <w:jc w:val="center"/>
              <w:rPr>
                <w:rFonts w:hint="default"/>
              </w:rPr>
            </w:pPr>
          </w:p>
        </w:tc>
        <w:tc>
          <w:tcPr>
            <w:tcW w:w="0" w:type="auto"/>
            <w:shd w:val="clear" w:color="auto" w:fill="auto"/>
            <w:tcMar>
              <w:top w:w="150" w:type="dxa"/>
              <w:left w:w="240" w:type="dxa"/>
              <w:bottom w:w="150" w:type="dxa"/>
              <w:right w:w="0" w:type="dxa"/>
            </w:tcMar>
            <w:vAlign w:val="center"/>
          </w:tcPr>
          <w:p w14:paraId="37204F0D">
            <w:pPr>
              <w:bidi w:val="0"/>
              <w:jc w:val="center"/>
              <w:rPr>
                <w:rFonts w:hint="default"/>
              </w:rPr>
            </w:pPr>
          </w:p>
        </w:tc>
      </w:tr>
      <w:tr w14:paraId="5549DB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jc w:val="center"/>
        </w:trPr>
        <w:tc>
          <w:tcPr>
            <w:tcW w:w="690" w:type="dxa"/>
            <w:shd w:val="clear" w:color="auto" w:fill="FFFFFF"/>
            <w:tcMar>
              <w:top w:w="150" w:type="dxa"/>
              <w:left w:w="0" w:type="dxa"/>
              <w:bottom w:w="150" w:type="dxa"/>
              <w:right w:w="240" w:type="dxa"/>
            </w:tcMar>
            <w:vAlign w:val="center"/>
          </w:tcPr>
          <w:p w14:paraId="15EDF491">
            <w:pPr>
              <w:bidi w:val="0"/>
              <w:jc w:val="center"/>
            </w:pPr>
            <w:r>
              <w:rPr>
                <w:rFonts w:hint="default"/>
                <w:lang w:val="en-US" w:eastAsia="zh-CN"/>
              </w:rPr>
              <w:t>7</w:t>
            </w:r>
          </w:p>
        </w:tc>
        <w:tc>
          <w:tcPr>
            <w:tcW w:w="1179" w:type="dxa"/>
            <w:shd w:val="clear" w:color="auto" w:fill="FFFFFF"/>
            <w:tcMar>
              <w:top w:w="150" w:type="dxa"/>
              <w:left w:w="240" w:type="dxa"/>
              <w:bottom w:w="150" w:type="dxa"/>
              <w:right w:w="240" w:type="dxa"/>
            </w:tcMar>
            <w:vAlign w:val="center"/>
          </w:tcPr>
          <w:p w14:paraId="7D01E8A0">
            <w:pPr>
              <w:bidi w:val="0"/>
              <w:jc w:val="center"/>
              <w:rPr>
                <w:rFonts w:hint="default"/>
              </w:rPr>
            </w:pPr>
            <w:r>
              <w:rPr>
                <w:rFonts w:hint="default"/>
                <w:lang w:val="en-US" w:eastAsia="zh-CN"/>
              </w:rPr>
              <w:t>重心垂向位置</w:t>
            </w:r>
          </w:p>
        </w:tc>
        <w:tc>
          <w:tcPr>
            <w:tcW w:w="975" w:type="dxa"/>
            <w:shd w:val="clear" w:color="auto" w:fill="auto"/>
            <w:tcMar>
              <w:top w:w="150" w:type="dxa"/>
              <w:left w:w="240" w:type="dxa"/>
              <w:bottom w:w="150" w:type="dxa"/>
              <w:right w:w="240" w:type="dxa"/>
            </w:tcMar>
            <w:vAlign w:val="center"/>
          </w:tcPr>
          <w:p w14:paraId="4B9B6155">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VCG</w:t>
            </w:r>
          </w:p>
        </w:tc>
        <w:tc>
          <w:tcPr>
            <w:tcW w:w="909" w:type="dxa"/>
            <w:shd w:val="clear" w:color="auto" w:fill="auto"/>
            <w:tcMar>
              <w:top w:w="150" w:type="dxa"/>
              <w:left w:w="240" w:type="dxa"/>
              <w:bottom w:w="150" w:type="dxa"/>
              <w:right w:w="240" w:type="dxa"/>
            </w:tcMar>
            <w:vAlign w:val="center"/>
          </w:tcPr>
          <w:p w14:paraId="65BED3B6">
            <w:pPr>
              <w:bidi w:val="0"/>
              <w:jc w:val="center"/>
              <w:rPr>
                <w:rFonts w:hint="default" w:asciiTheme="minorAscii" w:hAnsiTheme="minorAscii" w:eastAsiaTheme="minorEastAsia" w:cstheme="minorBidi"/>
                <w:kern w:val="2"/>
                <w:sz w:val="21"/>
                <w:szCs w:val="24"/>
                <w:lang w:val="en-US" w:eastAsia="zh-CN" w:bidi="ar-SA"/>
              </w:rPr>
            </w:pPr>
            <w:r>
              <w:rPr>
                <w:rFonts w:hint="default"/>
                <w:lang w:val="en-US" w:eastAsia="zh-CN"/>
              </w:rPr>
              <w:t>m</w:t>
            </w:r>
          </w:p>
        </w:tc>
        <w:tc>
          <w:tcPr>
            <w:tcW w:w="0" w:type="auto"/>
            <w:shd w:val="clear" w:color="auto" w:fill="FFFFFF"/>
            <w:tcMar>
              <w:top w:w="150" w:type="dxa"/>
              <w:left w:w="240" w:type="dxa"/>
              <w:bottom w:w="150" w:type="dxa"/>
              <w:right w:w="240" w:type="dxa"/>
            </w:tcMar>
            <w:vAlign w:val="center"/>
          </w:tcPr>
          <w:p w14:paraId="4507BB38">
            <w:pPr>
              <w:bidi w:val="0"/>
              <w:jc w:val="center"/>
              <w:rPr>
                <w:rFonts w:hint="default"/>
              </w:rPr>
            </w:pPr>
            <w:r>
              <w:rPr>
                <w:lang w:val="en-US" w:eastAsia="zh-CN"/>
              </w:rPr>
              <w:br w:type="textWrapping"/>
            </w:r>
          </w:p>
        </w:tc>
        <w:tc>
          <w:tcPr>
            <w:tcW w:w="0" w:type="auto"/>
            <w:shd w:val="clear" w:color="auto" w:fill="auto"/>
            <w:vAlign w:val="center"/>
          </w:tcPr>
          <w:p w14:paraId="23B5FE4C">
            <w:pPr>
              <w:bidi w:val="0"/>
              <w:jc w:val="center"/>
              <w:rPr>
                <w:rFonts w:hint="eastAsia"/>
              </w:rPr>
            </w:pPr>
          </w:p>
        </w:tc>
        <w:tc>
          <w:tcPr>
            <w:tcW w:w="0" w:type="auto"/>
            <w:shd w:val="clear" w:color="auto" w:fill="auto"/>
            <w:vAlign w:val="center"/>
          </w:tcPr>
          <w:p w14:paraId="51551805">
            <w:pPr>
              <w:bidi w:val="0"/>
              <w:jc w:val="center"/>
              <w:rPr>
                <w:rFonts w:hint="eastAsia"/>
              </w:rPr>
            </w:pPr>
          </w:p>
        </w:tc>
      </w:tr>
    </w:tbl>
    <w:p w14:paraId="669DA453">
      <w:pPr>
        <w:rPr>
          <w:rFonts w:hint="eastAsia"/>
        </w:rPr>
      </w:pPr>
    </w:p>
    <w:p w14:paraId="04393389">
      <w:pPr>
        <w:pStyle w:val="4"/>
        <w:bidi w:val="0"/>
        <w:rPr>
          <w:rFonts w:hint="eastAsia"/>
        </w:rPr>
      </w:pPr>
      <w:r>
        <w:rPr>
          <w:rFonts w:hint="eastAsia"/>
        </w:rPr>
        <w:t xml:space="preserve"> 5.6.2 网格划分</w:t>
      </w:r>
    </w:p>
    <w:p w14:paraId="36CB7059">
      <w:pPr>
        <w:rPr>
          <w:rFonts w:hint="eastAsia"/>
        </w:rPr>
      </w:pPr>
      <w:r>
        <w:rPr>
          <w:rFonts w:hint="eastAsia"/>
        </w:rPr>
        <w:t>5.6.2.1 应提供详细的网格划分说明，至少包含以下信息：</w:t>
      </w:r>
    </w:p>
    <w:p w14:paraId="0C9100E3">
      <w:pPr>
        <w:rPr>
          <w:rFonts w:hint="eastAsia"/>
        </w:rPr>
      </w:pPr>
      <w:r>
        <w:rPr>
          <w:rFonts w:hint="eastAsia"/>
        </w:rPr>
        <w:t>（1）网格类型、尺寸及主要网格大小的描述；</w:t>
      </w:r>
    </w:p>
    <w:p w14:paraId="331A4147">
      <w:pPr>
        <w:rPr>
          <w:rFonts w:hint="eastAsia"/>
        </w:rPr>
      </w:pPr>
      <w:r>
        <w:rPr>
          <w:rFonts w:hint="eastAsia"/>
        </w:rPr>
        <w:t>（2）不同区域的网格细化原则；</w:t>
      </w:r>
    </w:p>
    <w:p w14:paraId="4AF348FF">
      <w:pPr>
        <w:rPr>
          <w:rFonts w:hint="eastAsia"/>
        </w:rPr>
      </w:pPr>
      <w:r>
        <w:rPr>
          <w:rFonts w:hint="eastAsia"/>
        </w:rPr>
        <w:t>（3）边界层网格的层数、第一层厚度及伸展率；</w:t>
      </w:r>
    </w:p>
    <w:p w14:paraId="37BCFE72">
      <w:pPr>
        <w:rPr>
          <w:rFonts w:hint="eastAsia"/>
        </w:rPr>
      </w:pPr>
      <w:r>
        <w:rPr>
          <w:rFonts w:hint="eastAsia"/>
        </w:rPr>
        <w:t>（4）重叠网格的插值区域设置；</w:t>
      </w:r>
    </w:p>
    <w:p w14:paraId="569385EB">
      <w:pPr>
        <w:rPr>
          <w:rFonts w:hint="eastAsia"/>
        </w:rPr>
      </w:pPr>
      <w:r>
        <w:rPr>
          <w:rFonts w:hint="eastAsia"/>
        </w:rPr>
        <w:t>（5）网格质量说明，包括网格总数、扭曲度、长宽比、最小正交角等。</w:t>
      </w:r>
    </w:p>
    <w:p w14:paraId="0B0D72E7">
      <w:pPr>
        <w:pStyle w:val="4"/>
        <w:bidi w:val="0"/>
        <w:rPr>
          <w:rFonts w:hint="eastAsia"/>
        </w:rPr>
      </w:pPr>
      <w:r>
        <w:rPr>
          <w:rFonts w:hint="eastAsia"/>
        </w:rPr>
        <w:t xml:space="preserve"> 5.6.3 计算设置</w:t>
      </w:r>
    </w:p>
    <w:p w14:paraId="2EA09444">
      <w:pPr>
        <w:rPr>
          <w:rFonts w:hint="eastAsia"/>
        </w:rPr>
      </w:pPr>
      <w:r>
        <w:rPr>
          <w:rFonts w:hint="eastAsia"/>
        </w:rPr>
        <w:t>5.6.3.1 应提供CFD计算的详细设置信息，包括：</w:t>
      </w:r>
    </w:p>
    <w:p w14:paraId="439C5D73">
      <w:pPr>
        <w:rPr>
          <w:rFonts w:hint="eastAsia"/>
        </w:rPr>
      </w:pPr>
      <w:r>
        <w:rPr>
          <w:rFonts w:hint="eastAsia"/>
        </w:rPr>
        <w:t>（1）模拟类型（定常或非定常）；</w:t>
      </w:r>
    </w:p>
    <w:p w14:paraId="56B94452">
      <w:pPr>
        <w:rPr>
          <w:rFonts w:hint="eastAsia"/>
        </w:rPr>
      </w:pPr>
      <w:r>
        <w:rPr>
          <w:rFonts w:hint="eastAsia"/>
        </w:rPr>
        <w:t>（2）湍流模型；</w:t>
      </w:r>
    </w:p>
    <w:p w14:paraId="5A2EBFAB">
      <w:pPr>
        <w:rPr>
          <w:rFonts w:hint="eastAsia"/>
        </w:rPr>
      </w:pPr>
      <w:r>
        <w:rPr>
          <w:rFonts w:hint="eastAsia"/>
        </w:rPr>
        <w:t>（3）计算域尺寸与边界条件；</w:t>
      </w:r>
    </w:p>
    <w:p w14:paraId="086C4026">
      <w:pPr>
        <w:rPr>
          <w:rFonts w:hint="eastAsia"/>
        </w:rPr>
      </w:pPr>
      <w:r>
        <w:rPr>
          <w:rFonts w:hint="eastAsia"/>
        </w:rPr>
        <w:t>（4）求解自由度；</w:t>
      </w:r>
    </w:p>
    <w:p w14:paraId="07BD5756">
      <w:pPr>
        <w:rPr>
          <w:rFonts w:hint="eastAsia"/>
        </w:rPr>
      </w:pPr>
      <w:r>
        <w:rPr>
          <w:rFonts w:hint="eastAsia"/>
        </w:rPr>
        <w:t>（5）多相流与自由面设置；</w:t>
      </w:r>
    </w:p>
    <w:p w14:paraId="580C9DD6">
      <w:pPr>
        <w:rPr>
          <w:rFonts w:hint="eastAsia"/>
        </w:rPr>
      </w:pPr>
      <w:r>
        <w:rPr>
          <w:rFonts w:hint="eastAsia"/>
        </w:rPr>
        <w:t>（6）时间步长；</w:t>
      </w:r>
    </w:p>
    <w:p w14:paraId="67A1C323">
      <w:pPr>
        <w:rPr>
          <w:rFonts w:hint="eastAsia"/>
        </w:rPr>
      </w:pPr>
      <w:r>
        <w:rPr>
          <w:rFonts w:hint="eastAsia"/>
        </w:rPr>
        <w:t>（7）收敛准则及收敛情况说明。</w:t>
      </w:r>
    </w:p>
    <w:p w14:paraId="49FE41F2">
      <w:pPr>
        <w:pStyle w:val="4"/>
        <w:bidi w:val="0"/>
        <w:rPr>
          <w:rFonts w:hint="eastAsia"/>
        </w:rPr>
      </w:pPr>
      <w:r>
        <w:rPr>
          <w:rFonts w:hint="eastAsia"/>
        </w:rPr>
        <w:t xml:space="preserve"> 5.6.4 基准标模验证结果</w:t>
      </w:r>
    </w:p>
    <w:p w14:paraId="658503BB">
      <w:pPr>
        <w:rPr>
          <w:rFonts w:hint="eastAsia"/>
        </w:rPr>
      </w:pPr>
      <w:r>
        <w:rPr>
          <w:rFonts w:hint="eastAsia"/>
        </w:rPr>
        <w:t>5.6.4.1 应提供基准标模验证的详细结果，包括CFD计算结果与试验数据的对比曲线及偏差分析。</w:t>
      </w:r>
    </w:p>
    <w:p w14:paraId="0587ECA1">
      <w:pPr>
        <w:pStyle w:val="4"/>
        <w:bidi w:val="0"/>
        <w:rPr>
          <w:rFonts w:hint="eastAsia"/>
        </w:rPr>
      </w:pPr>
      <w:r>
        <w:rPr>
          <w:rFonts w:hint="eastAsia"/>
        </w:rPr>
        <w:t xml:space="preserve"> 5.6.5 网格与时间步收敛性分析结果</w:t>
      </w:r>
    </w:p>
    <w:p w14:paraId="29656543">
      <w:pPr>
        <w:rPr>
          <w:rFonts w:hint="eastAsia"/>
        </w:rPr>
      </w:pPr>
      <w:r>
        <w:rPr>
          <w:rFonts w:hint="eastAsia"/>
        </w:rPr>
        <w:t>5.6.5.1 应提供网格收敛性分析的结果，包括三套不同密度网格的关键监测指标对比。</w:t>
      </w:r>
    </w:p>
    <w:p w14:paraId="7AC9EE24">
      <w:pPr>
        <w:rPr>
          <w:rFonts w:hint="eastAsia"/>
        </w:rPr>
      </w:pPr>
      <w:r>
        <w:rPr>
          <w:rFonts w:hint="eastAsia"/>
        </w:rPr>
        <w:t>5.6.5.2 应说明关键指标随网格细化是否趋于稳定。</w:t>
      </w:r>
    </w:p>
    <w:p w14:paraId="0F657567">
      <w:pPr>
        <w:rPr>
          <w:rFonts w:hint="eastAsia"/>
        </w:rPr>
      </w:pPr>
      <w:r>
        <w:rPr>
          <w:rFonts w:hint="eastAsia"/>
        </w:rPr>
        <w:t>5</w:t>
      </w:r>
      <w:r>
        <w:t xml:space="preserve">.6.5.3 </w:t>
      </w:r>
      <w:r>
        <w:rPr>
          <w:rFonts w:hint="eastAsia"/>
        </w:rPr>
        <w:t>应提供时间步收敛性分析结果。</w:t>
      </w:r>
    </w:p>
    <w:p w14:paraId="27BD0A17">
      <w:pPr>
        <w:pStyle w:val="3"/>
        <w:bidi w:val="0"/>
        <w:rPr>
          <w:rFonts w:hint="eastAsia"/>
        </w:rPr>
      </w:pPr>
      <w:r>
        <w:rPr>
          <w:rFonts w:hint="eastAsia"/>
        </w:rPr>
        <w:t xml:space="preserve"> </w:t>
      </w:r>
      <w:bookmarkStart w:id="29" w:name="_Toc1643"/>
      <w:r>
        <w:rPr>
          <w:rFonts w:hint="eastAsia"/>
        </w:rPr>
        <w:t>第7节 评估结果</w:t>
      </w:r>
      <w:bookmarkEnd w:id="29"/>
    </w:p>
    <w:p w14:paraId="3E93EB65">
      <w:pPr>
        <w:pStyle w:val="4"/>
        <w:bidi w:val="0"/>
        <w:rPr>
          <w:rFonts w:hint="eastAsia"/>
        </w:rPr>
      </w:pPr>
      <w:r>
        <w:rPr>
          <w:rFonts w:hint="eastAsia"/>
        </w:rPr>
        <w:t xml:space="preserve"> 5.7.1 砰击载荷</w:t>
      </w:r>
    </w:p>
    <w:p w14:paraId="0E500BAF">
      <w:pPr>
        <w:rPr>
          <w:rFonts w:hint="eastAsia"/>
        </w:rPr>
      </w:pPr>
      <w:r>
        <w:rPr>
          <w:rFonts w:hint="eastAsia"/>
        </w:rPr>
        <w:t>5.7.1.1 应提供救生艇表面砰击压力分布及峰值。</w:t>
      </w:r>
    </w:p>
    <w:p w14:paraId="054781A5">
      <w:pPr>
        <w:rPr>
          <w:rFonts w:hint="eastAsia"/>
        </w:rPr>
      </w:pPr>
      <w:r>
        <w:rPr>
          <w:rFonts w:hint="eastAsia"/>
        </w:rPr>
        <w:t>5.7.1.2 应提供关键位置（如艇底中部）的砰击压力时历曲线。</w:t>
      </w:r>
    </w:p>
    <w:p w14:paraId="48AFB1AE">
      <w:pPr>
        <w:pStyle w:val="4"/>
        <w:bidi w:val="0"/>
        <w:rPr>
          <w:rFonts w:hint="eastAsia"/>
        </w:rPr>
      </w:pPr>
      <w:r>
        <w:rPr>
          <w:rFonts w:hint="eastAsia"/>
        </w:rPr>
        <w:t xml:space="preserve"> 5.7.2 运动响应</w:t>
      </w:r>
    </w:p>
    <w:p w14:paraId="3DE148AA">
      <w:pPr>
        <w:rPr>
          <w:rFonts w:hint="eastAsia"/>
        </w:rPr>
      </w:pPr>
      <w:r>
        <w:rPr>
          <w:rFonts w:hint="eastAsia"/>
        </w:rPr>
        <w:t>5.7.2.1 应提供救生艇六自由度运动时历曲线，包括位移、速度、姿态角等。</w:t>
      </w:r>
    </w:p>
    <w:p w14:paraId="2BF06520">
      <w:pPr>
        <w:rPr>
          <w:rFonts w:hint="eastAsia"/>
        </w:rPr>
      </w:pPr>
      <w:r>
        <w:rPr>
          <w:rFonts w:hint="eastAsia"/>
        </w:rPr>
        <w:t>5.7.2.2 应提供救生艇入水全过程运动轨迹。</w:t>
      </w:r>
    </w:p>
    <w:p w14:paraId="09F23201">
      <w:pPr>
        <w:pStyle w:val="4"/>
        <w:bidi w:val="0"/>
        <w:rPr>
          <w:rFonts w:hint="eastAsia"/>
        </w:rPr>
      </w:pPr>
      <w:r>
        <w:rPr>
          <w:rFonts w:hint="eastAsia"/>
        </w:rPr>
        <w:t xml:space="preserve"> 5.7.3 冲击加速度</w:t>
      </w:r>
    </w:p>
    <w:p w14:paraId="253FEEC0">
      <w:pPr>
        <w:rPr>
          <w:rFonts w:hint="eastAsia"/>
        </w:rPr>
      </w:pPr>
      <w:r>
        <w:rPr>
          <w:rFonts w:hint="eastAsia"/>
        </w:rPr>
        <w:t>5.7.3.1 应提供救生艇重心处三方向加速度时历曲线。</w:t>
      </w:r>
    </w:p>
    <w:p w14:paraId="16ED0305">
      <w:pPr>
        <w:rPr>
          <w:rFonts w:hint="eastAsia"/>
        </w:rPr>
      </w:pPr>
      <w:r>
        <w:rPr>
          <w:rFonts w:hint="eastAsia"/>
        </w:rPr>
        <w:t>5.7.3.2 应明确标注加速度峰值及其发生时刻。</w:t>
      </w:r>
    </w:p>
    <w:p w14:paraId="7F8D9892">
      <w:pPr>
        <w:rPr>
          <w:rFonts w:hint="eastAsia"/>
        </w:rPr>
      </w:pPr>
      <w:r>
        <w:rPr>
          <w:rFonts w:hint="default"/>
        </w:rPr>
        <w:t>5.7.3.3</w:t>
      </w:r>
      <w:r>
        <w:rPr>
          <w:rFonts w:hint="eastAsia"/>
          <w:lang w:val="en-US" w:eastAsia="zh-CN"/>
        </w:rPr>
        <w:t xml:space="preserve"> </w:t>
      </w:r>
      <w:r>
        <w:rPr>
          <w:rFonts w:hint="default"/>
        </w:rPr>
        <w:t>加速度输出位置应参照MSC.81(70)第6.17.2条的规定，在艇内不同位置（至少应包括最前排、中间排及最后排座椅位置）输出三方向加速度时历，以评估乘员可能承受的最不利加速力。</w:t>
      </w:r>
    </w:p>
    <w:p w14:paraId="1D720A36">
      <w:pPr>
        <w:rPr>
          <w:rFonts w:hint="default"/>
        </w:rPr>
      </w:pPr>
      <w:r>
        <w:rPr>
          <w:rFonts w:hint="default"/>
        </w:rPr>
        <w:t>5.7.3.4</w:t>
      </w:r>
      <w:r>
        <w:rPr>
          <w:rFonts w:hint="eastAsia"/>
          <w:lang w:val="en-US" w:eastAsia="zh-CN"/>
        </w:rPr>
        <w:t xml:space="preserve"> </w:t>
      </w:r>
      <w:r>
        <w:rPr>
          <w:rFonts w:hint="default"/>
        </w:rPr>
        <w:t>加速度时历的采样频率应对应物理试验的测量要求，后处理时建议采用不低于20Hz的低通滤波器进行处理，以对应MSC.81(70)第6.17.15条的规定。</w:t>
      </w:r>
    </w:p>
    <w:p w14:paraId="1213A872">
      <w:pPr>
        <w:rPr>
          <w:rFonts w:hint="eastAsia"/>
        </w:rPr>
      </w:pPr>
    </w:p>
    <w:p w14:paraId="1496ABAD">
      <w:pPr>
        <w:pStyle w:val="3"/>
        <w:bidi w:val="0"/>
        <w:rPr>
          <w:rFonts w:hint="eastAsia"/>
        </w:rPr>
      </w:pPr>
      <w:r>
        <w:rPr>
          <w:rFonts w:hint="eastAsia"/>
        </w:rPr>
        <w:t xml:space="preserve"> </w:t>
      </w:r>
      <w:bookmarkStart w:id="30" w:name="_Toc6579"/>
      <w:r>
        <w:rPr>
          <w:rFonts w:hint="eastAsia"/>
        </w:rPr>
        <w:t>第8节 结论与建议</w:t>
      </w:r>
      <w:bookmarkEnd w:id="30"/>
    </w:p>
    <w:p w14:paraId="2670B434">
      <w:pPr>
        <w:pStyle w:val="4"/>
        <w:bidi w:val="0"/>
        <w:rPr>
          <w:rFonts w:hint="eastAsia"/>
        </w:rPr>
      </w:pPr>
      <w:r>
        <w:rPr>
          <w:rFonts w:hint="eastAsia"/>
        </w:rPr>
        <w:t xml:space="preserve"> 5.8.1 评估结论</w:t>
      </w:r>
    </w:p>
    <w:p w14:paraId="295C2E93">
      <w:pPr>
        <w:rPr>
          <w:rFonts w:hint="eastAsia"/>
        </w:rPr>
      </w:pPr>
      <w:r>
        <w:rPr>
          <w:rFonts w:hint="eastAsia"/>
        </w:rPr>
        <w:t>5.8.1.1 应总结评估的主要结论，包括砰击载荷、冲击加速度等关键指标。</w:t>
      </w:r>
    </w:p>
    <w:p w14:paraId="4AAC32E4">
      <w:pPr>
        <w:pStyle w:val="3"/>
        <w:bidi w:val="0"/>
        <w:rPr>
          <w:rFonts w:hint="eastAsia"/>
        </w:rPr>
      </w:pPr>
      <w:r>
        <w:rPr>
          <w:rFonts w:hint="eastAsia"/>
        </w:rPr>
        <w:t xml:space="preserve"> </w:t>
      </w:r>
      <w:bookmarkStart w:id="31" w:name="_Toc4176"/>
      <w:r>
        <w:rPr>
          <w:rFonts w:hint="eastAsia"/>
        </w:rPr>
        <w:t>5.8.2 建议</w:t>
      </w:r>
      <w:bookmarkEnd w:id="31"/>
    </w:p>
    <w:p w14:paraId="2EE35D32">
      <w:pPr>
        <w:rPr>
          <w:rFonts w:hint="eastAsia"/>
        </w:rPr>
      </w:pPr>
      <w:r>
        <w:rPr>
          <w:rFonts w:hint="eastAsia"/>
        </w:rPr>
        <w:t>5.8.2.1 可根据评估结果提出救生艇抛投试验的操作建议或设计改进建议。</w:t>
      </w:r>
    </w:p>
    <w:p w14:paraId="4180420D">
      <w:pPr>
        <w:rPr>
          <w:rFonts w:hint="eastAsia"/>
        </w:rPr>
      </w:pPr>
    </w:p>
    <w:p w14:paraId="70650F3D">
      <w:pPr>
        <w:rPr>
          <w:rFonts w:hint="eastAsia"/>
        </w:rPr>
      </w:pPr>
      <w:r>
        <w:rPr>
          <w:rFonts w:hint="eastAsia"/>
        </w:rPr>
        <w:br w:type="page"/>
      </w:r>
    </w:p>
    <w:p w14:paraId="03E9BF25">
      <w:pPr>
        <w:pStyle w:val="2"/>
        <w:bidi w:val="0"/>
        <w:rPr>
          <w:rFonts w:hint="eastAsia"/>
        </w:rPr>
      </w:pPr>
      <w:r>
        <w:rPr>
          <w:rFonts w:hint="eastAsia"/>
        </w:rPr>
        <w:t xml:space="preserve"> </w:t>
      </w:r>
      <w:bookmarkStart w:id="32" w:name="_Toc28751"/>
      <w:r>
        <w:rPr>
          <w:rFonts w:hint="eastAsia"/>
        </w:rPr>
        <w:t>附录 报告模板</w:t>
      </w:r>
      <w:bookmarkEnd w:id="32"/>
    </w:p>
    <w:p w14:paraId="7E5A6CDC">
      <w:pPr>
        <w:pStyle w:val="3"/>
        <w:bidi w:val="0"/>
        <w:rPr>
          <w:rFonts w:hint="eastAsia"/>
        </w:rPr>
      </w:pPr>
      <w:r>
        <w:rPr>
          <w:rFonts w:hint="eastAsia"/>
        </w:rPr>
        <w:t xml:space="preserve"> </w:t>
      </w:r>
      <w:bookmarkStart w:id="33" w:name="_Toc17730"/>
      <w:r>
        <w:rPr>
          <w:rFonts w:hint="eastAsia"/>
        </w:rPr>
        <w:t>1 简介与目标</w:t>
      </w:r>
      <w:bookmarkEnd w:id="33"/>
    </w:p>
    <w:p w14:paraId="28FDD2A4">
      <w:pPr>
        <w:rPr>
          <w:rFonts w:hint="eastAsia"/>
        </w:rPr>
      </w:pPr>
      <w:r>
        <w:rPr>
          <w:rFonts w:hint="eastAsia"/>
        </w:rPr>
        <w:t>本报告描述了为______救生艇开展基于CFD的抛投试验数字化评估的过程。本报告所采用的方法流程符合《船舶救生艇抛投试验数字化评估指南》的要求。</w:t>
      </w:r>
    </w:p>
    <w:p w14:paraId="265EDE8B">
      <w:pPr>
        <w:rPr>
          <w:rFonts w:hint="eastAsia"/>
        </w:rPr>
      </w:pPr>
    </w:p>
    <w:p w14:paraId="055AF6F3">
      <w:pPr>
        <w:pStyle w:val="3"/>
        <w:bidi w:val="0"/>
        <w:rPr>
          <w:rFonts w:hint="eastAsia"/>
        </w:rPr>
      </w:pPr>
      <w:r>
        <w:rPr>
          <w:rFonts w:hint="eastAsia"/>
        </w:rPr>
        <w:t xml:space="preserve"> </w:t>
      </w:r>
      <w:bookmarkStart w:id="34" w:name="_Toc26183"/>
      <w:r>
        <w:rPr>
          <w:rFonts w:hint="eastAsia"/>
        </w:rPr>
        <w:t>2 CFD软件与版本</w:t>
      </w:r>
      <w:bookmarkEnd w:id="34"/>
    </w:p>
    <w:p w14:paraId="5F020A5A">
      <w:pPr>
        <w:rPr>
          <w:rFonts w:hint="eastAsia"/>
        </w:rPr>
      </w:pPr>
      <w:r>
        <w:rPr>
          <w:rFonts w:hint="eastAsia"/>
        </w:rPr>
        <w:t>本部分应包含对所用CFD软件名称、版本、网格划分方法及数值计算原理的描述。</w:t>
      </w:r>
    </w:p>
    <w:p w14:paraId="03A54707">
      <w:pPr>
        <w:rPr>
          <w:rFonts w:hint="eastAsia"/>
        </w:rPr>
      </w:pPr>
    </w:p>
    <w:p w14:paraId="554D0451">
      <w:pPr>
        <w:pStyle w:val="3"/>
        <w:bidi w:val="0"/>
        <w:rPr>
          <w:rFonts w:hint="eastAsia"/>
        </w:rPr>
      </w:pPr>
      <w:r>
        <w:rPr>
          <w:rFonts w:hint="eastAsia"/>
        </w:rPr>
        <w:t xml:space="preserve"> </w:t>
      </w:r>
      <w:bookmarkStart w:id="35" w:name="_Toc26503"/>
      <w:r>
        <w:rPr>
          <w:rFonts w:hint="eastAsia"/>
        </w:rPr>
        <w:t>3 艇型描述</w:t>
      </w:r>
      <w:bookmarkEnd w:id="35"/>
    </w:p>
    <w:p w14:paraId="4B6EF5B7">
      <w:pPr>
        <w:rPr>
          <w:rFonts w:hint="eastAsia"/>
        </w:rPr>
      </w:pPr>
      <w:r>
        <w:rPr>
          <w:rFonts w:hint="eastAsia"/>
        </w:rPr>
        <w:t>本部分应按照指南第5.4节的要求，对评估救生艇的主尺度参数、重量重心及惯性矩等参数进行描述。</w:t>
      </w:r>
    </w:p>
    <w:p w14:paraId="0A5CCB33">
      <w:pPr>
        <w:rPr>
          <w:rFonts w:hint="eastAsia"/>
        </w:rPr>
      </w:pPr>
    </w:p>
    <w:p w14:paraId="51379DAC">
      <w:pPr>
        <w:pStyle w:val="3"/>
        <w:bidi w:val="0"/>
        <w:rPr>
          <w:rFonts w:hint="eastAsia"/>
        </w:rPr>
      </w:pPr>
      <w:r>
        <w:rPr>
          <w:rFonts w:hint="eastAsia"/>
        </w:rPr>
        <w:t xml:space="preserve"> </w:t>
      </w:r>
      <w:bookmarkStart w:id="36" w:name="_Toc11019"/>
      <w:r>
        <w:rPr>
          <w:rFonts w:hint="eastAsia"/>
        </w:rPr>
        <w:t>4 数值模型</w:t>
      </w:r>
      <w:bookmarkEnd w:id="36"/>
    </w:p>
    <w:p w14:paraId="2DED556E">
      <w:pPr>
        <w:rPr>
          <w:rFonts w:hint="eastAsia"/>
        </w:rPr>
      </w:pPr>
      <w:r>
        <w:rPr>
          <w:rFonts w:hint="eastAsia"/>
        </w:rPr>
        <w:t>本部分应按照指南第5.6节的要求，提供几何模型、网格划分及计算设置的详细说明。</w:t>
      </w:r>
    </w:p>
    <w:p w14:paraId="590A9093">
      <w:pPr>
        <w:rPr>
          <w:rFonts w:hint="eastAsia"/>
        </w:rPr>
      </w:pPr>
    </w:p>
    <w:p w14:paraId="545CB1EB">
      <w:pPr>
        <w:pStyle w:val="3"/>
        <w:bidi w:val="0"/>
        <w:rPr>
          <w:rFonts w:hint="eastAsia"/>
        </w:rPr>
      </w:pPr>
      <w:r>
        <w:rPr>
          <w:rFonts w:hint="eastAsia"/>
        </w:rPr>
        <w:t xml:space="preserve"> </w:t>
      </w:r>
      <w:bookmarkStart w:id="37" w:name="_Toc28200"/>
      <w:r>
        <w:rPr>
          <w:rFonts w:hint="eastAsia"/>
        </w:rPr>
        <w:t>5 验证与确认</w:t>
      </w:r>
      <w:bookmarkEnd w:id="37"/>
    </w:p>
    <w:p w14:paraId="50EE085B">
      <w:pPr>
        <w:rPr>
          <w:rFonts w:hint="eastAsia"/>
        </w:rPr>
      </w:pPr>
      <w:r>
        <w:rPr>
          <w:rFonts w:hint="eastAsia"/>
        </w:rPr>
        <w:t>本部分应提供基准标模验证及网格与时间步收敛性分析的结果。</w:t>
      </w:r>
    </w:p>
    <w:p w14:paraId="09031D73">
      <w:pPr>
        <w:rPr>
          <w:rFonts w:hint="eastAsia"/>
        </w:rPr>
      </w:pPr>
    </w:p>
    <w:p w14:paraId="25B15E32">
      <w:pPr>
        <w:pStyle w:val="3"/>
        <w:bidi w:val="0"/>
        <w:rPr>
          <w:rFonts w:hint="eastAsia"/>
        </w:rPr>
      </w:pPr>
      <w:r>
        <w:rPr>
          <w:rFonts w:hint="eastAsia"/>
        </w:rPr>
        <w:t xml:space="preserve"> </w:t>
      </w:r>
      <w:bookmarkStart w:id="38" w:name="_Toc4484"/>
      <w:r>
        <w:rPr>
          <w:rFonts w:hint="eastAsia"/>
        </w:rPr>
        <w:t>6 空中运动阶段评估</w:t>
      </w:r>
      <w:bookmarkEnd w:id="38"/>
    </w:p>
    <w:p w14:paraId="7019368E">
      <w:pPr>
        <w:rPr>
          <w:rFonts w:hint="eastAsia"/>
        </w:rPr>
      </w:pPr>
      <w:r>
        <w:rPr>
          <w:rFonts w:hint="eastAsia"/>
        </w:rPr>
        <w:t>本部分应说明空中运动阶段所采用的方法及计算结果。</w:t>
      </w:r>
    </w:p>
    <w:p w14:paraId="2F352AD9">
      <w:pPr>
        <w:rPr>
          <w:rFonts w:hint="eastAsia"/>
        </w:rPr>
      </w:pPr>
    </w:p>
    <w:p w14:paraId="4E2E70BE">
      <w:pPr>
        <w:pStyle w:val="3"/>
        <w:bidi w:val="0"/>
        <w:rPr>
          <w:rFonts w:hint="eastAsia"/>
        </w:rPr>
      </w:pPr>
      <w:r>
        <w:rPr>
          <w:rFonts w:hint="eastAsia"/>
        </w:rPr>
        <w:t xml:space="preserve"> </w:t>
      </w:r>
      <w:bookmarkStart w:id="39" w:name="_Toc24649"/>
      <w:r>
        <w:rPr>
          <w:rFonts w:hint="eastAsia"/>
        </w:rPr>
        <w:t>7 入水砰击阶段评估</w:t>
      </w:r>
      <w:bookmarkEnd w:id="39"/>
    </w:p>
    <w:p w14:paraId="096853D0">
      <w:pPr>
        <w:rPr>
          <w:rFonts w:hint="eastAsia"/>
        </w:rPr>
      </w:pPr>
      <w:r>
        <w:rPr>
          <w:rFonts w:hint="eastAsia"/>
        </w:rPr>
        <w:t>本部分应提供入水砰击阶段的计算结果，包括砰击载荷、运动响应及冲击加速度等。</w:t>
      </w:r>
    </w:p>
    <w:p w14:paraId="30EC1B38">
      <w:pPr>
        <w:rPr>
          <w:rFonts w:hint="eastAsia"/>
        </w:rPr>
      </w:pPr>
    </w:p>
    <w:p w14:paraId="5E66AC25">
      <w:pPr>
        <w:pStyle w:val="3"/>
        <w:bidi w:val="0"/>
        <w:rPr>
          <w:rFonts w:hint="eastAsia"/>
        </w:rPr>
      </w:pPr>
      <w:r>
        <w:rPr>
          <w:rFonts w:hint="eastAsia"/>
        </w:rPr>
        <w:t xml:space="preserve"> </w:t>
      </w:r>
      <w:bookmarkStart w:id="40" w:name="_Toc3236"/>
      <w:r>
        <w:rPr>
          <w:rFonts w:hint="eastAsia"/>
        </w:rPr>
        <w:t>8 结论与建议</w:t>
      </w:r>
      <w:bookmarkEnd w:id="40"/>
    </w:p>
    <w:p w14:paraId="440210BE">
      <w:r>
        <w:rPr>
          <w:rFonts w:hint="eastAsia"/>
        </w:rPr>
        <w:t>本部分应总结评估结论并提出相关建议。</w:t>
      </w:r>
    </w:p>
    <w:sectPr>
      <w:headerReference r:id="rId5" w:type="default"/>
      <w:footerReference r:id="rId6"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mbria Math">
    <w:panose1 w:val="02040503050406030204"/>
    <w:charset w:val="00"/>
    <w:family w:val="auto"/>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MS PGothic">
    <w:panose1 w:val="020B0600070205080204"/>
    <w:charset w:val="80"/>
    <w:family w:val="auto"/>
    <w:pitch w:val="default"/>
    <w:sig w:usb0="E00002FF" w:usb1="6AC7FDFB" w:usb2="08000012" w:usb3="00000000" w:csb0="4002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444F3B">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0E164FC5">
                          <w:pPr>
                            <w:pStyle w:val="5"/>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14:paraId="0E164FC5">
                    <w:pPr>
                      <w:pStyle w:val="5"/>
                    </w:pPr>
                    <w:r>
                      <w:fldChar w:fldCharType="begin"/>
                    </w:r>
                    <w:r>
                      <w:instrText xml:space="preserve"> PAGE  \* MERGEFORMAT </w:instrText>
                    </w:r>
                    <w:r>
                      <w:fldChar w:fldCharType="separate"/>
                    </w:r>
                    <w:r>
                      <w:t>1</w:t>
                    </w:r>
                    <w:r>
                      <w:fldChar w:fldCharType="end"/>
                    </w:r>
                    <w:r>
                      <w:t xml:space="preserve"> / </w:t>
                    </w:r>
                    <w:r>
                      <w:fldChar w:fldCharType="begin"/>
                    </w:r>
                    <w:r>
                      <w:instrText xml:space="preserve"> NUMPAGES  \* MERGEFORMAT </w:instrText>
                    </w:r>
                    <w:r>
                      <w:fldChar w:fldCharType="separate"/>
                    </w:r>
                    <w:r>
                      <w:t>23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7FFC04">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606360"/>
    <w:rsid w:val="171D2AAD"/>
    <w:rsid w:val="1DEB5959"/>
    <w:rsid w:val="1E7F4227"/>
    <w:rsid w:val="265E35E1"/>
    <w:rsid w:val="28266C20"/>
    <w:rsid w:val="29097997"/>
    <w:rsid w:val="2CFD0B90"/>
    <w:rsid w:val="35D84A56"/>
    <w:rsid w:val="4F8859A7"/>
    <w:rsid w:val="548F7FE8"/>
    <w:rsid w:val="56CD51B3"/>
    <w:rsid w:val="56D4509A"/>
    <w:rsid w:val="571132F2"/>
    <w:rsid w:val="590C4741"/>
    <w:rsid w:val="629D0130"/>
    <w:rsid w:val="70961DE8"/>
    <w:rsid w:val="78EC74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heme="minorAscii" w:hAnsiTheme="minorAsci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220" w:beforeLines="0" w:beforeAutospacing="0" w:after="210" w:afterLines="0" w:afterAutospacing="0" w:line="360" w:lineRule="auto"/>
      <w:jc w:val="center"/>
      <w:outlineLvl w:val="0"/>
    </w:pPr>
    <w:rPr>
      <w:rFonts w:eastAsia="黑体"/>
      <w:b/>
      <w:kern w:val="44"/>
      <w:sz w:val="44"/>
    </w:rPr>
  </w:style>
  <w:style w:type="paragraph" w:styleId="3">
    <w:name w:val="heading 2"/>
    <w:basedOn w:val="1"/>
    <w:next w:val="1"/>
    <w:unhideWhenUsed/>
    <w:qFormat/>
    <w:uiPriority w:val="0"/>
    <w:pPr>
      <w:keepNext/>
      <w:keepLines/>
      <w:spacing w:before="140" w:beforeLines="0" w:beforeAutospacing="0" w:after="140" w:afterLines="0" w:afterAutospacing="0" w:line="360" w:lineRule="auto"/>
      <w:jc w:val="center"/>
      <w:outlineLvl w:val="1"/>
    </w:pPr>
    <w:rPr>
      <w:rFonts w:ascii="Arial" w:hAnsi="Arial" w:eastAsia="黑体"/>
      <w:b/>
      <w:sz w:val="28"/>
    </w:rPr>
  </w:style>
  <w:style w:type="paragraph" w:styleId="4">
    <w:name w:val="heading 3"/>
    <w:basedOn w:val="1"/>
    <w:next w:val="1"/>
    <w:unhideWhenUsed/>
    <w:qFormat/>
    <w:uiPriority w:val="0"/>
    <w:pPr>
      <w:keepNext/>
      <w:keepLines/>
      <w:spacing w:beforeLines="0" w:beforeAutospacing="0" w:afterLines="0" w:afterAutospacing="0" w:line="360" w:lineRule="auto"/>
      <w:outlineLvl w:val="2"/>
    </w:pPr>
    <w:rPr>
      <w:rFonts w:eastAsia="黑体"/>
      <w:b/>
      <w:sz w:val="24"/>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footer"/>
    <w:basedOn w:val="1"/>
    <w:uiPriority w:val="0"/>
    <w:pPr>
      <w:tabs>
        <w:tab w:val="center" w:pos="4153"/>
        <w:tab w:val="right" w:pos="8306"/>
      </w:tabs>
      <w:snapToGrid w:val="0"/>
      <w:jc w:val="left"/>
    </w:pPr>
    <w:rPr>
      <w:sz w:val="18"/>
    </w:rPr>
  </w:style>
  <w:style w:type="paragraph" w:styleId="6">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oc 1"/>
    <w:basedOn w:val="1"/>
    <w:next w:val="1"/>
    <w:qFormat/>
    <w:uiPriority w:val="0"/>
  </w:style>
  <w:style w:type="paragraph" w:styleId="8">
    <w:name w:val="toc 2"/>
    <w:basedOn w:val="1"/>
    <w:next w:val="1"/>
    <w:qFormat/>
    <w:uiPriority w:val="0"/>
    <w:pPr>
      <w:ind w:left="420" w:leftChars="200"/>
    </w:pPr>
  </w:style>
  <w:style w:type="paragraph" w:styleId="9">
    <w:name w:val="Normal (Web)"/>
    <w:basedOn w:val="1"/>
    <w:qFormat/>
    <w:uiPriority w:val="0"/>
    <w:rPr>
      <w:sz w:val="24"/>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image" Target="media/image1.tiff"/><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2.emf"/><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6597</Words>
  <Characters>7721</Characters>
  <Lines>0</Lines>
  <Paragraphs>0</Paragraphs>
  <TotalTime>7</TotalTime>
  <ScaleCrop>false</ScaleCrop>
  <LinksUpToDate>false</LinksUpToDate>
  <CharactersWithSpaces>8155</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2026-07-15T15:22:00Z</dcterms:created>
  <dc:creator>user</dc:creator>
  <cp:lastModifiedBy>user</cp:lastModifiedBy>
  <dcterms:modified xsi:type="dcterms:W3CDTF">2026-07-25T08:52:18Z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KSOTemplateDocerSaveRecord">
    <vt:lpwstr>eyJoZGlkIjoiYjk4NTJmNzBkYzUzMzExMjYyODMyN2M4MzM1YjkyZTEiLCJ1c2VySWQiOiIxNzg5MjU2ODM0In0=</vt:lpwstr>
  </property>
  <property fmtid="{D5CDD505-2E9C-101B-9397-08002B2CF9AE}" pid="4" name="ICV">
    <vt:lpwstr>9F5D7D5101E74CAEBF62737F620A9BEC_13</vt:lpwstr>
  </property>
</Properties>
</file>