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771A6" w:rsidRDefault="00F130DA">
      <w:pPr>
        <w:spacing w:line="360" w:lineRule="auto"/>
        <w:ind w:firstLineChars="200" w:firstLine="562"/>
        <w:jc w:val="center"/>
        <w:rPr>
          <w:rFonts w:ascii="Arial" w:hAnsi="Arial" w:cs="Arial"/>
          <w:b/>
          <w:sz w:val="28"/>
          <w:szCs w:val="28"/>
        </w:rPr>
      </w:pPr>
      <w:r>
        <w:rPr>
          <w:rFonts w:ascii="Arial" w:hAnsi="Arial" w:cs="Arial"/>
          <w:b/>
          <w:sz w:val="28"/>
          <w:szCs w:val="28"/>
        </w:rPr>
        <w:t xml:space="preserve"> IMO</w:t>
      </w:r>
      <w:r>
        <w:rPr>
          <w:rFonts w:ascii="Arial" w:hAnsi="Arial" w:cs="Arial"/>
          <w:b/>
          <w:sz w:val="28"/>
          <w:szCs w:val="28"/>
        </w:rPr>
        <w:t>船舶设计与建造分委会第</w:t>
      </w:r>
      <w:r>
        <w:rPr>
          <w:rFonts w:ascii="Arial" w:hAnsi="Arial" w:cs="Arial" w:hint="eastAsia"/>
          <w:b/>
          <w:sz w:val="28"/>
          <w:szCs w:val="28"/>
        </w:rPr>
        <w:t>10</w:t>
      </w:r>
      <w:r>
        <w:rPr>
          <w:rFonts w:ascii="Arial" w:hAnsi="Arial" w:cs="Arial"/>
          <w:b/>
          <w:sz w:val="28"/>
          <w:szCs w:val="28"/>
        </w:rPr>
        <w:t>次会议（</w:t>
      </w:r>
      <w:r>
        <w:rPr>
          <w:rFonts w:ascii="Arial" w:hAnsi="Arial" w:cs="Arial"/>
          <w:b/>
          <w:sz w:val="28"/>
          <w:szCs w:val="28"/>
        </w:rPr>
        <w:t>SDC</w:t>
      </w:r>
      <w:r>
        <w:rPr>
          <w:rFonts w:ascii="Arial" w:hAnsi="Arial" w:cs="Arial" w:hint="eastAsia"/>
          <w:b/>
          <w:sz w:val="28"/>
          <w:szCs w:val="28"/>
        </w:rPr>
        <w:t>10</w:t>
      </w:r>
      <w:r>
        <w:rPr>
          <w:rFonts w:ascii="Arial" w:hAnsi="Arial" w:cs="Arial"/>
          <w:b/>
          <w:sz w:val="28"/>
          <w:szCs w:val="28"/>
        </w:rPr>
        <w:t>）</w:t>
      </w:r>
    </w:p>
    <w:p w:rsidR="007771A6" w:rsidRDefault="00F130DA">
      <w:pPr>
        <w:adjustRightInd w:val="0"/>
        <w:snapToGrid w:val="0"/>
        <w:spacing w:line="360" w:lineRule="auto"/>
        <w:jc w:val="center"/>
        <w:rPr>
          <w:rFonts w:ascii="Arial" w:hAnsi="Arial" w:cs="Arial"/>
          <w:b/>
          <w:sz w:val="28"/>
          <w:szCs w:val="28"/>
        </w:rPr>
      </w:pPr>
      <w:r>
        <w:rPr>
          <w:rFonts w:ascii="Arial" w:hAnsi="Arial" w:cs="Arial"/>
          <w:b/>
          <w:sz w:val="28"/>
          <w:szCs w:val="28"/>
        </w:rPr>
        <w:t>要点快报</w:t>
      </w:r>
    </w:p>
    <w:p w:rsidR="007771A6" w:rsidRDefault="00F130DA">
      <w:pPr>
        <w:adjustRightInd w:val="0"/>
        <w:snapToGrid w:val="0"/>
        <w:spacing w:line="360" w:lineRule="auto"/>
        <w:jc w:val="center"/>
        <w:rPr>
          <w:rFonts w:ascii="Arial" w:hAnsi="Arial" w:cs="Arial"/>
          <w:b/>
          <w:sz w:val="28"/>
          <w:szCs w:val="28"/>
        </w:rPr>
      </w:pPr>
      <w:r>
        <w:rPr>
          <w:rFonts w:ascii="Arial" w:hAnsi="Arial" w:cs="Arial"/>
          <w:b/>
          <w:sz w:val="28"/>
          <w:szCs w:val="28"/>
        </w:rPr>
        <w:t>中国船级社</w:t>
      </w:r>
    </w:p>
    <w:p w:rsidR="007771A6" w:rsidRDefault="00F130DA">
      <w:pPr>
        <w:adjustRightInd w:val="0"/>
        <w:snapToGrid w:val="0"/>
        <w:spacing w:line="360" w:lineRule="auto"/>
        <w:jc w:val="center"/>
        <w:rPr>
          <w:rFonts w:ascii="Arial" w:hAnsi="Arial" w:cs="Arial"/>
          <w:b/>
          <w:sz w:val="28"/>
          <w:szCs w:val="28"/>
        </w:rPr>
      </w:pPr>
      <w:r>
        <w:rPr>
          <w:rFonts w:ascii="Arial" w:hAnsi="Arial" w:cs="Arial" w:hint="eastAsia"/>
          <w:b/>
          <w:sz w:val="28"/>
          <w:szCs w:val="28"/>
        </w:rPr>
        <w:t>202</w:t>
      </w:r>
      <w:r>
        <w:rPr>
          <w:rFonts w:ascii="Arial" w:hAnsi="Arial" w:cs="Arial" w:hint="eastAsia"/>
          <w:b/>
          <w:sz w:val="28"/>
          <w:szCs w:val="28"/>
        </w:rPr>
        <w:t>4</w:t>
      </w:r>
      <w:r>
        <w:rPr>
          <w:rFonts w:ascii="Arial" w:hAnsi="Arial" w:cs="Arial" w:hint="eastAsia"/>
          <w:b/>
          <w:sz w:val="28"/>
          <w:szCs w:val="28"/>
        </w:rPr>
        <w:t>年</w:t>
      </w:r>
      <w:r>
        <w:rPr>
          <w:rFonts w:ascii="Arial" w:hAnsi="Arial" w:cs="Arial" w:hint="eastAsia"/>
          <w:b/>
          <w:sz w:val="28"/>
          <w:szCs w:val="28"/>
        </w:rPr>
        <w:t>2</w:t>
      </w:r>
      <w:r>
        <w:rPr>
          <w:rFonts w:ascii="Arial" w:hAnsi="Arial" w:cs="Arial" w:hint="eastAsia"/>
          <w:b/>
          <w:sz w:val="28"/>
          <w:szCs w:val="28"/>
        </w:rPr>
        <w:t>月</w:t>
      </w:r>
      <w:r>
        <w:rPr>
          <w:rFonts w:ascii="Arial" w:hAnsi="Arial" w:cs="Arial" w:hint="eastAsia"/>
          <w:b/>
          <w:sz w:val="28"/>
          <w:szCs w:val="28"/>
        </w:rPr>
        <w:t>1</w:t>
      </w:r>
      <w:r>
        <w:rPr>
          <w:rFonts w:ascii="Arial" w:hAnsi="Arial" w:cs="Arial" w:hint="eastAsia"/>
          <w:b/>
          <w:sz w:val="28"/>
          <w:szCs w:val="28"/>
        </w:rPr>
        <w:t>日</w:t>
      </w:r>
    </w:p>
    <w:p w:rsidR="007771A6" w:rsidRDefault="007771A6">
      <w:pPr>
        <w:autoSpaceDE w:val="0"/>
        <w:autoSpaceDN w:val="0"/>
        <w:adjustRightInd w:val="0"/>
        <w:snapToGrid w:val="0"/>
        <w:spacing w:line="360" w:lineRule="auto"/>
        <w:ind w:firstLineChars="200" w:firstLine="562"/>
        <w:rPr>
          <w:rFonts w:ascii="Arial" w:hAnsi="Arial" w:cs="Arial"/>
          <w:b/>
          <w:sz w:val="28"/>
          <w:szCs w:val="28"/>
        </w:rPr>
      </w:pPr>
    </w:p>
    <w:p w:rsidR="007771A6" w:rsidRDefault="00F130DA">
      <w:pPr>
        <w:autoSpaceDE w:val="0"/>
        <w:autoSpaceDN w:val="0"/>
        <w:adjustRightInd w:val="0"/>
        <w:snapToGrid w:val="0"/>
        <w:spacing w:line="360" w:lineRule="auto"/>
        <w:ind w:firstLineChars="200" w:firstLine="562"/>
        <w:rPr>
          <w:rFonts w:ascii="Arial" w:hAnsi="Arial" w:cs="Arial"/>
          <w:sz w:val="28"/>
          <w:szCs w:val="28"/>
        </w:rPr>
      </w:pPr>
      <w:r>
        <w:rPr>
          <w:rFonts w:ascii="Arial" w:hAnsi="Arial" w:cs="Arial" w:hint="eastAsia"/>
          <w:b/>
          <w:bCs/>
          <w:sz w:val="28"/>
          <w:szCs w:val="28"/>
        </w:rPr>
        <w:t>一、总体介绍</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国际海事组织（</w:t>
      </w:r>
      <w:r>
        <w:rPr>
          <w:rFonts w:ascii="Arial" w:hAnsi="Arial" w:cs="Arial" w:hint="eastAsia"/>
          <w:sz w:val="28"/>
          <w:szCs w:val="28"/>
        </w:rPr>
        <w:t>IMO</w:t>
      </w:r>
      <w:r>
        <w:rPr>
          <w:rFonts w:ascii="Arial" w:hAnsi="Arial" w:cs="Arial" w:hint="eastAsia"/>
          <w:sz w:val="28"/>
          <w:szCs w:val="28"/>
        </w:rPr>
        <w:t>）船舶设计与建造分委会（</w:t>
      </w:r>
      <w:r>
        <w:rPr>
          <w:rFonts w:ascii="Arial" w:hAnsi="Arial" w:cs="Arial" w:hint="eastAsia"/>
          <w:sz w:val="28"/>
          <w:szCs w:val="28"/>
        </w:rPr>
        <w:t>SDC</w:t>
      </w:r>
      <w:r>
        <w:rPr>
          <w:rFonts w:ascii="Arial" w:hAnsi="Arial" w:cs="Arial" w:hint="eastAsia"/>
          <w:sz w:val="28"/>
          <w:szCs w:val="28"/>
        </w:rPr>
        <w:t>）第</w:t>
      </w:r>
      <w:r>
        <w:rPr>
          <w:rFonts w:ascii="Arial" w:hAnsi="Arial" w:cs="Arial" w:hint="eastAsia"/>
          <w:sz w:val="28"/>
          <w:szCs w:val="28"/>
        </w:rPr>
        <w:t>10</w:t>
      </w:r>
      <w:r>
        <w:rPr>
          <w:rFonts w:ascii="Arial" w:hAnsi="Arial" w:cs="Arial" w:hint="eastAsia"/>
          <w:sz w:val="28"/>
          <w:szCs w:val="28"/>
        </w:rPr>
        <w:t>次会议于</w:t>
      </w:r>
      <w:r>
        <w:rPr>
          <w:rFonts w:ascii="Arial" w:hAnsi="Arial" w:cs="Arial" w:hint="eastAsia"/>
          <w:sz w:val="28"/>
          <w:szCs w:val="28"/>
        </w:rPr>
        <w:t>2024</w:t>
      </w:r>
      <w:r>
        <w:rPr>
          <w:rFonts w:ascii="Arial" w:hAnsi="Arial" w:cs="Arial" w:hint="eastAsia"/>
          <w:sz w:val="28"/>
          <w:szCs w:val="28"/>
        </w:rPr>
        <w:t>年</w:t>
      </w:r>
      <w:r>
        <w:rPr>
          <w:rFonts w:ascii="Arial" w:hAnsi="Arial" w:cs="Arial" w:hint="eastAsia"/>
          <w:sz w:val="28"/>
          <w:szCs w:val="28"/>
        </w:rPr>
        <w:t>1</w:t>
      </w:r>
      <w:r>
        <w:rPr>
          <w:rFonts w:ascii="Arial" w:hAnsi="Arial" w:cs="Arial" w:hint="eastAsia"/>
          <w:sz w:val="28"/>
          <w:szCs w:val="28"/>
        </w:rPr>
        <w:t>月</w:t>
      </w:r>
      <w:r>
        <w:rPr>
          <w:rFonts w:ascii="Arial" w:hAnsi="Arial" w:cs="Arial" w:hint="eastAsia"/>
          <w:sz w:val="28"/>
          <w:szCs w:val="28"/>
        </w:rPr>
        <w:t>22</w:t>
      </w:r>
      <w:r>
        <w:rPr>
          <w:rFonts w:ascii="Arial" w:hAnsi="Arial" w:cs="Arial" w:hint="eastAsia"/>
          <w:sz w:val="28"/>
          <w:szCs w:val="28"/>
        </w:rPr>
        <w:t>日至</w:t>
      </w:r>
      <w:r>
        <w:rPr>
          <w:rFonts w:ascii="Arial" w:hAnsi="Arial" w:cs="Arial" w:hint="eastAsia"/>
          <w:sz w:val="28"/>
          <w:szCs w:val="28"/>
        </w:rPr>
        <w:t>26</w:t>
      </w:r>
      <w:r>
        <w:rPr>
          <w:rFonts w:ascii="Arial" w:hAnsi="Arial" w:cs="Arial" w:hint="eastAsia"/>
          <w:sz w:val="28"/>
          <w:szCs w:val="28"/>
        </w:rPr>
        <w:t>日以线下和线上混合形式举行。</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会议重点讨论了制定非液货船应急拖带指南、审查《减少水下噪音指南》、</w:t>
      </w:r>
      <w:r>
        <w:rPr>
          <w:rFonts w:ascii="Arial" w:hAnsi="Arial" w:cs="Arial" w:hint="eastAsia"/>
          <w:sz w:val="28"/>
          <w:szCs w:val="28"/>
        </w:rPr>
        <w:t>制定</w:t>
      </w:r>
      <w:r>
        <w:rPr>
          <w:rFonts w:ascii="Arial" w:hAnsi="Arial" w:cs="Arial" w:hint="eastAsia"/>
          <w:sz w:val="28"/>
          <w:szCs w:val="28"/>
        </w:rPr>
        <w:t>SOLAS</w:t>
      </w:r>
      <w:r>
        <w:rPr>
          <w:rFonts w:ascii="Arial" w:hAnsi="Arial" w:cs="Arial" w:hint="eastAsia"/>
          <w:sz w:val="28"/>
          <w:szCs w:val="28"/>
        </w:rPr>
        <w:t>公约第</w:t>
      </w:r>
      <w:r>
        <w:rPr>
          <w:rFonts w:ascii="Arial" w:hAnsi="Arial" w:cs="Arial" w:hint="eastAsia"/>
          <w:sz w:val="28"/>
          <w:szCs w:val="28"/>
        </w:rPr>
        <w:t xml:space="preserve"> </w:t>
      </w:r>
      <w:r>
        <w:rPr>
          <w:rFonts w:ascii="Arial" w:hAnsi="Arial" w:cs="Arial" w:hint="eastAsia"/>
          <w:sz w:val="28"/>
          <w:szCs w:val="28"/>
        </w:rPr>
        <w:t>II-1</w:t>
      </w:r>
      <w:r>
        <w:rPr>
          <w:rFonts w:ascii="Arial" w:hAnsi="Arial" w:cs="Arial" w:hint="eastAsia"/>
          <w:sz w:val="28"/>
          <w:szCs w:val="28"/>
        </w:rPr>
        <w:t>章替代设计和布置指南的安全目标和功能要求、修订“登离船设施构造、维护和检查</w:t>
      </w:r>
      <w:r>
        <w:rPr>
          <w:rFonts w:ascii="Arial" w:hAnsi="Arial" w:cs="Arial" w:hint="eastAsia"/>
          <w:sz w:val="28"/>
          <w:szCs w:val="28"/>
        </w:rPr>
        <w:t>/</w:t>
      </w:r>
      <w:r>
        <w:rPr>
          <w:rFonts w:ascii="Arial" w:hAnsi="Arial" w:cs="Arial" w:hint="eastAsia"/>
          <w:sz w:val="28"/>
          <w:szCs w:val="28"/>
        </w:rPr>
        <w:t>检验指南”中关于安装舷梯和跳板梯安全网要求、修订《国际载重线公约》</w:t>
      </w:r>
      <w:r>
        <w:rPr>
          <w:rFonts w:ascii="Arial" w:hAnsi="Arial" w:cs="Arial" w:hint="eastAsia"/>
          <w:sz w:val="28"/>
          <w:szCs w:val="28"/>
        </w:rPr>
        <w:t>1988</w:t>
      </w:r>
      <w:r>
        <w:rPr>
          <w:rFonts w:ascii="Arial" w:hAnsi="Arial" w:cs="Arial" w:hint="eastAsia"/>
          <w:sz w:val="28"/>
          <w:szCs w:val="28"/>
        </w:rPr>
        <w:t>年议定书栏杆设置、</w:t>
      </w:r>
      <w:r>
        <w:rPr>
          <w:rFonts w:ascii="Arial" w:hAnsi="Arial" w:cs="Arial" w:hint="eastAsia"/>
          <w:sz w:val="28"/>
          <w:szCs w:val="28"/>
        </w:rPr>
        <w:t>修订</w:t>
      </w:r>
      <w:r>
        <w:rPr>
          <w:rFonts w:ascii="Arial" w:hAnsi="Arial" w:cs="Arial" w:hint="eastAsia"/>
          <w:sz w:val="28"/>
          <w:szCs w:val="28"/>
        </w:rPr>
        <w:t>客船发生火灾或进水事故后系统性能评估的暂行解释性说明以及相关的通函等。</w:t>
      </w:r>
      <w:r>
        <w:rPr>
          <w:rFonts w:ascii="Arial" w:hAnsi="Arial" w:cs="Arial" w:hint="eastAsia"/>
          <w:sz w:val="28"/>
          <w:szCs w:val="28"/>
        </w:rPr>
        <w:t>会议完成了</w:t>
      </w:r>
      <w:r>
        <w:rPr>
          <w:rFonts w:ascii="Arial" w:hAnsi="Arial" w:cs="Arial" w:hint="eastAsia"/>
          <w:sz w:val="28"/>
          <w:szCs w:val="28"/>
        </w:rPr>
        <w:t>6</w:t>
      </w:r>
      <w:r>
        <w:rPr>
          <w:rFonts w:ascii="Arial" w:hAnsi="Arial" w:cs="Arial" w:hint="eastAsia"/>
          <w:sz w:val="28"/>
          <w:szCs w:val="28"/>
        </w:rPr>
        <w:t>项通函的起草。</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二、重点议题讨论</w:t>
      </w:r>
    </w:p>
    <w:p w:rsidR="007771A6" w:rsidRDefault="00F130DA">
      <w:pPr>
        <w:autoSpaceDE w:val="0"/>
        <w:autoSpaceDN w:val="0"/>
        <w:adjustRightInd w:val="0"/>
        <w:snapToGrid w:val="0"/>
        <w:spacing w:line="360" w:lineRule="auto"/>
        <w:ind w:firstLineChars="200" w:firstLine="562"/>
        <w:rPr>
          <w:rFonts w:ascii="Arial" w:hAnsi="Arial" w:cs="Arial"/>
          <w:sz w:val="28"/>
          <w:szCs w:val="28"/>
        </w:rPr>
      </w:pPr>
      <w:r>
        <w:rPr>
          <w:rFonts w:ascii="Arial" w:hAnsi="Arial" w:cs="Arial" w:hint="eastAsia"/>
          <w:b/>
          <w:bCs/>
          <w:sz w:val="28"/>
          <w:szCs w:val="28"/>
        </w:rPr>
        <w:t>（一）</w:t>
      </w:r>
      <w:r>
        <w:rPr>
          <w:rFonts w:ascii="Arial" w:hAnsi="Arial" w:cs="Arial" w:hint="eastAsia"/>
          <w:b/>
          <w:bCs/>
          <w:sz w:val="28"/>
          <w:szCs w:val="28"/>
        </w:rPr>
        <w:t>制定</w:t>
      </w:r>
      <w:r>
        <w:rPr>
          <w:rFonts w:ascii="Arial" w:hAnsi="Arial" w:cs="Arial" w:hint="eastAsia"/>
          <w:b/>
          <w:bCs/>
          <w:sz w:val="28"/>
          <w:szCs w:val="28"/>
        </w:rPr>
        <w:t>非液货船</w:t>
      </w:r>
      <w:r>
        <w:rPr>
          <w:rFonts w:ascii="Arial" w:hAnsi="Arial" w:cs="Arial" w:hint="eastAsia"/>
          <w:b/>
          <w:bCs/>
          <w:sz w:val="28"/>
          <w:szCs w:val="28"/>
        </w:rPr>
        <w:t>应急拖带指南</w:t>
      </w:r>
    </w:p>
    <w:p w:rsidR="007771A6" w:rsidRDefault="00F130DA">
      <w:pPr>
        <w:spacing w:line="360" w:lineRule="auto"/>
        <w:ind w:firstLineChars="200" w:firstLine="560"/>
        <w:rPr>
          <w:rFonts w:ascii="Arial" w:hAnsi="Arial"/>
          <w:sz w:val="28"/>
          <w:szCs w:val="28"/>
        </w:rPr>
      </w:pPr>
      <w:r>
        <w:rPr>
          <w:rFonts w:ascii="Arial" w:hAnsi="Arial" w:hint="eastAsia"/>
          <w:sz w:val="28"/>
          <w:szCs w:val="28"/>
        </w:rPr>
        <w:t>海安会</w:t>
      </w:r>
      <w:r>
        <w:rPr>
          <w:rFonts w:ascii="Arial" w:hAnsi="Arial" w:hint="eastAsia"/>
          <w:sz w:val="28"/>
          <w:szCs w:val="28"/>
        </w:rPr>
        <w:t>MSC107</w:t>
      </w:r>
      <w:r>
        <w:rPr>
          <w:rFonts w:ascii="Arial" w:hAnsi="Arial" w:hint="eastAsia"/>
          <w:sz w:val="28"/>
          <w:szCs w:val="28"/>
        </w:rPr>
        <w:t>批准了</w:t>
      </w:r>
      <w:r>
        <w:rPr>
          <w:rFonts w:ascii="Arial" w:hAnsi="Arial" w:hint="eastAsia"/>
          <w:sz w:val="28"/>
          <w:szCs w:val="28"/>
        </w:rPr>
        <w:t xml:space="preserve">SOLAS </w:t>
      </w:r>
      <w:r>
        <w:rPr>
          <w:rFonts w:ascii="Arial" w:hAnsi="Arial" w:hint="eastAsia"/>
          <w:sz w:val="28"/>
          <w:szCs w:val="28"/>
        </w:rPr>
        <w:t>公约第</w:t>
      </w:r>
      <w:r>
        <w:rPr>
          <w:rFonts w:ascii="Arial" w:hAnsi="Arial" w:hint="eastAsia"/>
          <w:sz w:val="28"/>
          <w:szCs w:val="28"/>
        </w:rPr>
        <w:t>II-1</w:t>
      </w:r>
      <w:r>
        <w:rPr>
          <w:rFonts w:ascii="Arial" w:hAnsi="Arial" w:hint="eastAsia"/>
          <w:sz w:val="28"/>
          <w:szCs w:val="28"/>
        </w:rPr>
        <w:t>章第</w:t>
      </w:r>
      <w:r>
        <w:rPr>
          <w:rFonts w:ascii="Arial" w:hAnsi="Arial" w:hint="eastAsia"/>
          <w:sz w:val="28"/>
          <w:szCs w:val="28"/>
        </w:rPr>
        <w:t>3-4</w:t>
      </w:r>
      <w:r>
        <w:rPr>
          <w:rFonts w:ascii="Arial" w:hAnsi="Arial" w:hint="eastAsia"/>
          <w:sz w:val="28"/>
          <w:szCs w:val="28"/>
        </w:rPr>
        <w:t>条的修正案草案，新增了</w:t>
      </w:r>
      <w:r>
        <w:rPr>
          <w:rFonts w:ascii="Arial" w:hAnsi="Arial" w:hint="eastAsia"/>
          <w:sz w:val="28"/>
          <w:szCs w:val="28"/>
        </w:rPr>
        <w:t>2028</w:t>
      </w:r>
      <w:r>
        <w:rPr>
          <w:rFonts w:ascii="Arial" w:hAnsi="Arial" w:hint="eastAsia"/>
          <w:sz w:val="28"/>
          <w:szCs w:val="28"/>
        </w:rPr>
        <w:t>年</w:t>
      </w:r>
      <w:r>
        <w:rPr>
          <w:rFonts w:ascii="Arial" w:hAnsi="Arial" w:hint="eastAsia"/>
          <w:sz w:val="28"/>
          <w:szCs w:val="28"/>
        </w:rPr>
        <w:t>1</w:t>
      </w:r>
      <w:r>
        <w:rPr>
          <w:rFonts w:ascii="Arial" w:hAnsi="Arial" w:hint="eastAsia"/>
          <w:sz w:val="28"/>
          <w:szCs w:val="28"/>
        </w:rPr>
        <w:t>月</w:t>
      </w:r>
      <w:r>
        <w:rPr>
          <w:rFonts w:ascii="Arial" w:hAnsi="Arial" w:hint="eastAsia"/>
          <w:sz w:val="28"/>
          <w:szCs w:val="28"/>
        </w:rPr>
        <w:t>1</w:t>
      </w:r>
      <w:r>
        <w:rPr>
          <w:rFonts w:ascii="Arial" w:hAnsi="Arial" w:hint="eastAsia"/>
          <w:sz w:val="28"/>
          <w:szCs w:val="28"/>
        </w:rPr>
        <w:t>日或以后建造的不小于</w:t>
      </w:r>
      <w:r>
        <w:rPr>
          <w:rFonts w:ascii="Arial" w:hAnsi="Arial" w:hint="eastAsia"/>
          <w:sz w:val="28"/>
          <w:szCs w:val="28"/>
        </w:rPr>
        <w:t>2</w:t>
      </w:r>
      <w:r>
        <w:rPr>
          <w:rFonts w:ascii="Arial" w:hAnsi="Arial" w:hint="eastAsia"/>
          <w:sz w:val="28"/>
          <w:szCs w:val="28"/>
        </w:rPr>
        <w:t>万总吨的非液货船应配备应急拖带装置的要求。为了与该修正案配套，</w:t>
      </w:r>
      <w:r>
        <w:rPr>
          <w:rFonts w:ascii="Arial" w:hAnsi="Arial" w:hint="eastAsia"/>
          <w:sz w:val="28"/>
          <w:szCs w:val="28"/>
        </w:rPr>
        <w:t>I</w:t>
      </w:r>
      <w:r>
        <w:rPr>
          <w:rFonts w:ascii="Arial" w:hAnsi="Arial" w:hint="eastAsia"/>
          <w:sz w:val="28"/>
          <w:szCs w:val="28"/>
        </w:rPr>
        <w:t>MO</w:t>
      </w:r>
      <w:r>
        <w:rPr>
          <w:rFonts w:ascii="Arial" w:hAnsi="Arial" w:hint="eastAsia"/>
          <w:sz w:val="28"/>
          <w:szCs w:val="28"/>
        </w:rPr>
        <w:t>决定为非液货船制定新的应急拖带装置的指南。本次会议以现有液货船的应急拖带指南（经修订的</w:t>
      </w:r>
      <w:r>
        <w:rPr>
          <w:rFonts w:ascii="Arial" w:hAnsi="Arial" w:hint="eastAsia"/>
          <w:sz w:val="28"/>
          <w:szCs w:val="28"/>
        </w:rPr>
        <w:t>MSC.35(63)</w:t>
      </w:r>
      <w:r>
        <w:rPr>
          <w:rFonts w:ascii="Arial" w:hAnsi="Arial" w:hint="eastAsia"/>
          <w:sz w:val="28"/>
          <w:szCs w:val="28"/>
        </w:rPr>
        <w:t>决议）为基础，主要对非液货船应急拖带布置的布放时间、设计灵活性和强度要求进行了讨论。会议决定不引入“快速布置”的定义，同意在指南中不需包括现有液货船指南中的典型应急拖带布置以增强灵活性，明确预先布置</w:t>
      </w:r>
      <w:r>
        <w:rPr>
          <w:rFonts w:ascii="Arial" w:hAnsi="Arial" w:hint="eastAsia"/>
          <w:sz w:val="28"/>
          <w:szCs w:val="28"/>
        </w:rPr>
        <w:t>ETA</w:t>
      </w:r>
      <w:r>
        <w:rPr>
          <w:rFonts w:ascii="Arial" w:hAnsi="Arial" w:hint="eastAsia"/>
          <w:sz w:val="28"/>
          <w:szCs w:val="28"/>
        </w:rPr>
        <w:t>不是强制要求。会议还以</w:t>
      </w:r>
      <w:r>
        <w:rPr>
          <w:rFonts w:ascii="Arial" w:hAnsi="Arial" w:hint="eastAsia"/>
          <w:sz w:val="28"/>
          <w:szCs w:val="28"/>
        </w:rPr>
        <w:t>IACS UI SC113</w:t>
      </w:r>
      <w:r>
        <w:rPr>
          <w:rFonts w:ascii="Arial" w:hAnsi="Arial" w:hint="eastAsia"/>
          <w:sz w:val="28"/>
          <w:szCs w:val="28"/>
        </w:rPr>
        <w:t>为基础，</w:t>
      </w:r>
      <w:r>
        <w:rPr>
          <w:rFonts w:ascii="Arial" w:hAnsi="Arial" w:hint="eastAsia"/>
          <w:sz w:val="28"/>
          <w:szCs w:val="28"/>
        </w:rPr>
        <w:lastRenderedPageBreak/>
        <w:t>根据非液货船的特点，在指南草案中初步新增制定了非液货船的应急拖带布置的原型试验要求。考虑到非液货船船型的尺度和设计的多样性，会议认为以总吨作为</w:t>
      </w:r>
      <w:r>
        <w:rPr>
          <w:rFonts w:ascii="Arial" w:hAnsi="Arial" w:hint="eastAsia"/>
          <w:sz w:val="28"/>
          <w:szCs w:val="28"/>
        </w:rPr>
        <w:t>拖带部件强度阈值参数是不合适的，并原则上同意以船舶舾装数（</w:t>
      </w:r>
      <w:r>
        <w:rPr>
          <w:rFonts w:ascii="Arial" w:hAnsi="Arial" w:hint="eastAsia"/>
          <w:sz w:val="28"/>
          <w:szCs w:val="28"/>
        </w:rPr>
        <w:t>EN</w:t>
      </w:r>
      <w:r>
        <w:rPr>
          <w:rFonts w:ascii="Arial" w:hAnsi="Arial" w:hint="eastAsia"/>
          <w:sz w:val="28"/>
          <w:szCs w:val="28"/>
        </w:rPr>
        <w:t>）作为确定拖带部件强度的参数。因为需要全面船舶数据来制定基于经验的强度参数，在收集更全面数据后，分委会同意</w:t>
      </w:r>
      <w:r>
        <w:rPr>
          <w:rFonts w:ascii="Arial" w:hAnsi="Arial" w:hint="eastAsia"/>
          <w:sz w:val="28"/>
          <w:szCs w:val="28"/>
        </w:rPr>
        <w:t>SDC11</w:t>
      </w:r>
      <w:r>
        <w:rPr>
          <w:rFonts w:ascii="Arial" w:hAnsi="Arial" w:hint="eastAsia"/>
          <w:sz w:val="28"/>
          <w:szCs w:val="28"/>
        </w:rPr>
        <w:t>进一步审议和制定指南。</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w:t>
      </w:r>
      <w:r>
        <w:rPr>
          <w:rFonts w:ascii="Arial" w:hAnsi="Arial" w:cs="Arial" w:hint="eastAsia"/>
          <w:b/>
          <w:bCs/>
          <w:sz w:val="28"/>
          <w:szCs w:val="28"/>
        </w:rPr>
        <w:t>二</w:t>
      </w:r>
      <w:r>
        <w:rPr>
          <w:rFonts w:ascii="Arial" w:hAnsi="Arial" w:cs="Arial" w:hint="eastAsia"/>
          <w:b/>
          <w:bCs/>
          <w:sz w:val="28"/>
          <w:szCs w:val="28"/>
        </w:rPr>
        <w:t>）审查《减少水下噪</w:t>
      </w:r>
      <w:r>
        <w:rPr>
          <w:rFonts w:ascii="Arial" w:hAnsi="Arial" w:cs="Arial" w:hint="eastAsia"/>
          <w:b/>
          <w:bCs/>
          <w:sz w:val="28"/>
          <w:szCs w:val="28"/>
        </w:rPr>
        <w:t>声</w:t>
      </w:r>
      <w:r>
        <w:rPr>
          <w:rFonts w:ascii="Arial" w:hAnsi="Arial" w:cs="Arial" w:hint="eastAsia"/>
          <w:b/>
          <w:bCs/>
          <w:sz w:val="28"/>
          <w:szCs w:val="28"/>
        </w:rPr>
        <w:t>指南》并确定下一步措施</w:t>
      </w:r>
    </w:p>
    <w:p w:rsidR="007771A6" w:rsidRDefault="00F130DA">
      <w:pPr>
        <w:ind w:firstLineChars="200" w:firstLine="560"/>
        <w:rPr>
          <w:rFonts w:ascii="Arial" w:hAnsi="Arial"/>
          <w:sz w:val="28"/>
          <w:szCs w:val="28"/>
        </w:rPr>
      </w:pPr>
      <w:r>
        <w:rPr>
          <w:rFonts w:ascii="Arial" w:hAnsi="Arial" w:hint="eastAsia"/>
          <w:sz w:val="28"/>
          <w:szCs w:val="28"/>
        </w:rPr>
        <w:t>商船的水下辐射噪声可能对海洋生物，特别是海洋哺乳动物产生短期和长期的负</w:t>
      </w:r>
      <w:r>
        <w:rPr>
          <w:rFonts w:ascii="Arial" w:hAnsi="Arial" w:hint="eastAsia"/>
          <w:sz w:val="28"/>
          <w:szCs w:val="28"/>
        </w:rPr>
        <w:t>面影响，为此，</w:t>
      </w:r>
      <w:r>
        <w:rPr>
          <w:rFonts w:ascii="Arial" w:hAnsi="Arial" w:hint="eastAsia"/>
          <w:sz w:val="28"/>
          <w:szCs w:val="28"/>
        </w:rPr>
        <w:t>IMO</w:t>
      </w:r>
      <w:r>
        <w:rPr>
          <w:rFonts w:ascii="Arial" w:hAnsi="Arial" w:hint="eastAsia"/>
          <w:sz w:val="28"/>
          <w:szCs w:val="28"/>
        </w:rPr>
        <w:t>先后通过了</w:t>
      </w:r>
      <w:r>
        <w:rPr>
          <w:rFonts w:ascii="Arial" w:hAnsi="Arial" w:hint="eastAsia"/>
          <w:sz w:val="28"/>
          <w:szCs w:val="28"/>
        </w:rPr>
        <w:t>MEPC.1/Circ.833</w:t>
      </w:r>
      <w:r>
        <w:rPr>
          <w:rFonts w:ascii="Arial" w:hAnsi="Arial" w:hint="eastAsia"/>
          <w:sz w:val="28"/>
          <w:szCs w:val="28"/>
        </w:rPr>
        <w:t>《减少水下噪音指南》和</w:t>
      </w:r>
      <w:r>
        <w:rPr>
          <w:rFonts w:ascii="Arial" w:hAnsi="Arial" w:hint="eastAsia"/>
          <w:sz w:val="28"/>
          <w:szCs w:val="28"/>
        </w:rPr>
        <w:t>MEPC.1/Circ.906</w:t>
      </w:r>
      <w:r>
        <w:rPr>
          <w:rFonts w:ascii="Arial" w:hAnsi="Arial" w:hint="eastAsia"/>
          <w:sz w:val="28"/>
          <w:szCs w:val="28"/>
        </w:rPr>
        <w:t>《经修订的</w:t>
      </w:r>
      <w:r>
        <w:rPr>
          <w:rFonts w:ascii="Arial" w:hAnsi="Arial" w:hint="eastAsia"/>
          <w:sz w:val="28"/>
          <w:szCs w:val="28"/>
        </w:rPr>
        <w:t>减少水下噪音指南</w:t>
      </w:r>
      <w:r>
        <w:rPr>
          <w:rFonts w:ascii="Arial" w:hAnsi="Arial" w:hint="eastAsia"/>
          <w:sz w:val="28"/>
          <w:szCs w:val="28"/>
        </w:rPr>
        <w:t>》。按工作计划，本次会议完成了水下辐射噪声（</w:t>
      </w:r>
      <w:r>
        <w:rPr>
          <w:rFonts w:ascii="Arial" w:hAnsi="Arial" w:hint="eastAsia"/>
          <w:sz w:val="28"/>
          <w:szCs w:val="28"/>
        </w:rPr>
        <w:t>URN</w:t>
      </w:r>
      <w:r>
        <w:rPr>
          <w:rFonts w:ascii="Arial" w:hAnsi="Arial" w:hint="eastAsia"/>
          <w:sz w:val="28"/>
          <w:szCs w:val="28"/>
        </w:rPr>
        <w:t>）管理计划参考图草案的定稿并决定将参考图作为附录增加到</w:t>
      </w:r>
      <w:r>
        <w:rPr>
          <w:rFonts w:ascii="Arial" w:hAnsi="Arial" w:hint="eastAsia"/>
          <w:sz w:val="28"/>
          <w:szCs w:val="28"/>
        </w:rPr>
        <w:t>MEPC.1/Circ.906</w:t>
      </w:r>
      <w:r>
        <w:rPr>
          <w:rFonts w:ascii="Arial" w:hAnsi="Arial" w:hint="eastAsia"/>
          <w:sz w:val="28"/>
          <w:szCs w:val="28"/>
        </w:rPr>
        <w:t>指南中，新修订的指南将由</w:t>
      </w:r>
      <w:r>
        <w:rPr>
          <w:rFonts w:ascii="Arial" w:hAnsi="Arial" w:hint="eastAsia"/>
          <w:sz w:val="28"/>
          <w:szCs w:val="28"/>
        </w:rPr>
        <w:t>MEPC 82</w:t>
      </w:r>
      <w:r>
        <w:rPr>
          <w:rFonts w:ascii="Arial" w:hAnsi="Arial" w:hint="eastAsia"/>
          <w:sz w:val="28"/>
          <w:szCs w:val="28"/>
        </w:rPr>
        <w:t>以更新版本指南发布。</w:t>
      </w:r>
    </w:p>
    <w:p w:rsidR="007771A6" w:rsidRDefault="00F130DA">
      <w:pPr>
        <w:ind w:firstLineChars="200" w:firstLine="560"/>
        <w:rPr>
          <w:rFonts w:ascii="Arial" w:hAnsi="Arial"/>
          <w:sz w:val="28"/>
          <w:szCs w:val="28"/>
        </w:rPr>
      </w:pPr>
      <w:r>
        <w:rPr>
          <w:rFonts w:ascii="Arial" w:hAnsi="Arial" w:hint="eastAsia"/>
          <w:sz w:val="28"/>
          <w:szCs w:val="28"/>
        </w:rPr>
        <w:t>为了指导</w:t>
      </w:r>
      <w:r>
        <w:rPr>
          <w:rFonts w:ascii="Arial" w:hAnsi="Arial" w:hint="eastAsia"/>
          <w:sz w:val="28"/>
          <w:szCs w:val="28"/>
        </w:rPr>
        <w:t>IMO</w:t>
      </w:r>
      <w:r>
        <w:rPr>
          <w:rFonts w:ascii="Arial" w:hAnsi="Arial" w:hint="eastAsia"/>
          <w:sz w:val="28"/>
          <w:szCs w:val="28"/>
        </w:rPr>
        <w:t>持续开展减少水下辐射噪声工作并提供指示性行动的机制，分委会还完成了行动计划草案的定稿工作并请</w:t>
      </w:r>
      <w:r>
        <w:rPr>
          <w:rFonts w:ascii="Arial" w:hAnsi="Arial" w:hint="eastAsia"/>
          <w:sz w:val="28"/>
          <w:szCs w:val="28"/>
        </w:rPr>
        <w:t>MEPC 81</w:t>
      </w:r>
      <w:r>
        <w:rPr>
          <w:rFonts w:ascii="Arial" w:hAnsi="Arial" w:hint="eastAsia"/>
          <w:sz w:val="28"/>
          <w:szCs w:val="28"/>
        </w:rPr>
        <w:t>同意该计划，并拟向</w:t>
      </w:r>
      <w:r>
        <w:rPr>
          <w:rFonts w:ascii="Arial" w:hAnsi="Arial" w:hint="eastAsia"/>
          <w:sz w:val="28"/>
          <w:szCs w:val="28"/>
        </w:rPr>
        <w:t>MEPC 81</w:t>
      </w:r>
      <w:r>
        <w:rPr>
          <w:rFonts w:ascii="Arial" w:hAnsi="Arial" w:hint="eastAsia"/>
          <w:sz w:val="28"/>
          <w:szCs w:val="28"/>
        </w:rPr>
        <w:t>建议经验积累阶段为期三年，并可能再延长两年，以获取经验并制定指南的最佳实践。</w:t>
      </w:r>
    </w:p>
    <w:p w:rsidR="007771A6" w:rsidRDefault="00F130DA">
      <w:pPr>
        <w:ind w:firstLineChars="200" w:firstLine="560"/>
        <w:rPr>
          <w:rFonts w:ascii="Arial" w:hAnsi="Arial"/>
          <w:sz w:val="28"/>
          <w:szCs w:val="28"/>
        </w:rPr>
      </w:pPr>
      <w:r>
        <w:rPr>
          <w:rFonts w:ascii="Arial" w:hAnsi="Arial" w:hint="eastAsia"/>
          <w:sz w:val="28"/>
          <w:szCs w:val="28"/>
        </w:rPr>
        <w:t>另外，分委会还将向</w:t>
      </w:r>
      <w:r>
        <w:rPr>
          <w:rFonts w:ascii="Arial" w:hAnsi="Arial" w:hint="eastAsia"/>
          <w:sz w:val="28"/>
          <w:szCs w:val="28"/>
        </w:rPr>
        <w:t>MEPC 81</w:t>
      </w:r>
      <w:r>
        <w:rPr>
          <w:rFonts w:ascii="Arial" w:hAnsi="Arial" w:hint="eastAsia"/>
          <w:sz w:val="28"/>
          <w:szCs w:val="28"/>
        </w:rPr>
        <w:t>请求将产出标题由“审查《减少水下噪声指南》并确定下一步措</w:t>
      </w:r>
      <w:r>
        <w:rPr>
          <w:rFonts w:ascii="Arial" w:hAnsi="Arial" w:hint="eastAsia"/>
          <w:sz w:val="28"/>
          <w:szCs w:val="28"/>
        </w:rPr>
        <w:t>施”修改为“减少水下辐射噪声的经验积累阶段（</w:t>
      </w:r>
      <w:r>
        <w:rPr>
          <w:rFonts w:ascii="Arial" w:hAnsi="Arial" w:hint="eastAsia"/>
          <w:sz w:val="28"/>
          <w:szCs w:val="28"/>
        </w:rPr>
        <w:t>MEPC.1/Circ.906</w:t>
      </w:r>
      <w:r>
        <w:rPr>
          <w:rFonts w:ascii="Arial" w:hAnsi="Arial" w:hint="eastAsia"/>
          <w:sz w:val="28"/>
          <w:szCs w:val="28"/>
        </w:rPr>
        <w:t>）”并建议将该产出放在</w:t>
      </w:r>
      <w:r>
        <w:rPr>
          <w:rFonts w:ascii="Arial" w:hAnsi="Arial" w:hint="eastAsia"/>
          <w:sz w:val="28"/>
          <w:szCs w:val="28"/>
        </w:rPr>
        <w:t>MEPC82</w:t>
      </w:r>
      <w:r>
        <w:rPr>
          <w:rFonts w:ascii="Arial" w:hAnsi="Arial" w:hint="eastAsia"/>
          <w:sz w:val="28"/>
          <w:szCs w:val="28"/>
        </w:rPr>
        <w:t>临时议程上。分委会还同意了《经修订的</w:t>
      </w:r>
      <w:r>
        <w:rPr>
          <w:rFonts w:ascii="Arial" w:hAnsi="Arial" w:hint="eastAsia"/>
          <w:sz w:val="28"/>
          <w:szCs w:val="28"/>
        </w:rPr>
        <w:t>减少水下噪音指南</w:t>
      </w:r>
      <w:r>
        <w:rPr>
          <w:rFonts w:ascii="Arial" w:hAnsi="Arial" w:hint="eastAsia"/>
          <w:sz w:val="28"/>
          <w:szCs w:val="28"/>
        </w:rPr>
        <w:t>》的经验积累阶段（</w:t>
      </w:r>
      <w:r>
        <w:rPr>
          <w:rFonts w:ascii="Arial" w:hAnsi="Arial" w:hint="eastAsia"/>
          <w:sz w:val="28"/>
          <w:szCs w:val="28"/>
        </w:rPr>
        <w:t>EBP</w:t>
      </w:r>
      <w:r>
        <w:rPr>
          <w:rFonts w:ascii="Arial" w:hAnsi="Arial" w:hint="eastAsia"/>
          <w:sz w:val="28"/>
          <w:szCs w:val="28"/>
        </w:rPr>
        <w:t>）指导文件草案。</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lastRenderedPageBreak/>
        <w:t>（三）修订</w:t>
      </w:r>
      <w:r>
        <w:rPr>
          <w:rFonts w:ascii="Arial" w:hAnsi="Arial" w:cs="Arial" w:hint="eastAsia"/>
          <w:b/>
          <w:bCs/>
          <w:sz w:val="28"/>
          <w:szCs w:val="28"/>
        </w:rPr>
        <w:t>《</w:t>
      </w:r>
      <w:r>
        <w:rPr>
          <w:rFonts w:ascii="Arial" w:hAnsi="Arial" w:cs="Arial" w:hint="eastAsia"/>
          <w:b/>
          <w:bCs/>
          <w:sz w:val="28"/>
          <w:szCs w:val="28"/>
        </w:rPr>
        <w:t>2011</w:t>
      </w:r>
      <w:r>
        <w:rPr>
          <w:rFonts w:ascii="Arial" w:hAnsi="Arial" w:cs="Arial" w:hint="eastAsia"/>
          <w:b/>
          <w:bCs/>
          <w:sz w:val="28"/>
          <w:szCs w:val="28"/>
        </w:rPr>
        <w:t>年国际散货船和油船检验期间加强检验程序规则》</w:t>
      </w:r>
      <w:r>
        <w:rPr>
          <w:rFonts w:ascii="Arial" w:hAnsi="Arial" w:cs="Arial" w:hint="eastAsia"/>
          <w:b/>
          <w:bCs/>
          <w:sz w:val="28"/>
          <w:szCs w:val="28"/>
        </w:rPr>
        <w:t>( ESP</w:t>
      </w:r>
      <w:r>
        <w:rPr>
          <w:rFonts w:ascii="Arial" w:hAnsi="Arial" w:cs="Arial" w:hint="eastAsia"/>
          <w:b/>
          <w:bCs/>
          <w:sz w:val="28"/>
          <w:szCs w:val="28"/>
        </w:rPr>
        <w:t>规则）</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随着技术的进步，遥控检查技术（</w:t>
      </w:r>
      <w:r>
        <w:rPr>
          <w:rFonts w:ascii="Arial" w:hAnsi="Arial" w:hint="eastAsia"/>
          <w:sz w:val="28"/>
          <w:szCs w:val="28"/>
        </w:rPr>
        <w:t>RIT</w:t>
      </w:r>
      <w:r>
        <w:rPr>
          <w:rFonts w:ascii="Arial" w:hAnsi="Arial" w:hint="eastAsia"/>
          <w:sz w:val="28"/>
          <w:szCs w:val="28"/>
        </w:rPr>
        <w:t>）（例如由无人机）为支持验船师开展现场检验具有明显优势。为此，</w:t>
      </w:r>
      <w:r>
        <w:rPr>
          <w:rFonts w:ascii="Arial" w:hAnsi="Arial" w:hint="eastAsia"/>
          <w:sz w:val="28"/>
          <w:szCs w:val="28"/>
        </w:rPr>
        <w:t>IACS</w:t>
      </w:r>
      <w:r>
        <w:rPr>
          <w:rFonts w:ascii="Arial" w:hAnsi="Arial" w:hint="eastAsia"/>
          <w:sz w:val="28"/>
          <w:szCs w:val="28"/>
        </w:rPr>
        <w:t>提议修订</w:t>
      </w:r>
      <w:r>
        <w:rPr>
          <w:rFonts w:ascii="Arial" w:hAnsi="Arial" w:hint="eastAsia"/>
          <w:sz w:val="28"/>
          <w:szCs w:val="28"/>
        </w:rPr>
        <w:t>ESP</w:t>
      </w:r>
      <w:r>
        <w:rPr>
          <w:rFonts w:ascii="Arial" w:hAnsi="Arial" w:hint="eastAsia"/>
          <w:sz w:val="28"/>
          <w:szCs w:val="28"/>
        </w:rPr>
        <w:t>规则，以允许采用遥控检查技术进行近观检验（</w:t>
      </w:r>
      <w:r>
        <w:rPr>
          <w:rFonts w:ascii="Arial" w:hAnsi="Arial" w:hint="eastAsia"/>
          <w:sz w:val="28"/>
          <w:szCs w:val="28"/>
        </w:rPr>
        <w:t xml:space="preserve">Close-up </w:t>
      </w:r>
      <w:r>
        <w:rPr>
          <w:rFonts w:ascii="Arial" w:hAnsi="Arial" w:hint="eastAsia"/>
          <w:sz w:val="28"/>
          <w:szCs w:val="28"/>
        </w:rPr>
        <w:t>Survey</w:t>
      </w:r>
      <w:r>
        <w:rPr>
          <w:rFonts w:ascii="Arial" w:hAnsi="Arial" w:hint="eastAsia"/>
          <w:sz w:val="28"/>
          <w:szCs w:val="28"/>
        </w:rPr>
        <w:t>）。经本次会议讨论后，分委会原则上同意使用</w:t>
      </w:r>
      <w:r>
        <w:rPr>
          <w:rFonts w:ascii="Arial" w:hAnsi="Arial" w:hint="eastAsia"/>
          <w:sz w:val="28"/>
          <w:szCs w:val="28"/>
        </w:rPr>
        <w:t>RIT</w:t>
      </w:r>
      <w:r>
        <w:rPr>
          <w:rFonts w:ascii="Arial" w:hAnsi="Arial" w:hint="eastAsia"/>
          <w:sz w:val="28"/>
          <w:szCs w:val="28"/>
        </w:rPr>
        <w:t>进行近观建议的提议，同时</w:t>
      </w:r>
      <w:r>
        <w:rPr>
          <w:rFonts w:ascii="Arial" w:hAnsi="Arial" w:hint="eastAsia"/>
          <w:sz w:val="28"/>
          <w:szCs w:val="28"/>
        </w:rPr>
        <w:t>RIT</w:t>
      </w:r>
      <w:r>
        <w:rPr>
          <w:rFonts w:ascii="Arial" w:hAnsi="Arial" w:hint="eastAsia"/>
          <w:sz w:val="28"/>
          <w:szCs w:val="28"/>
        </w:rPr>
        <w:t>技术的使用将不限于</w:t>
      </w:r>
      <w:r>
        <w:rPr>
          <w:rFonts w:ascii="Arial" w:hAnsi="Arial" w:hint="eastAsia"/>
          <w:sz w:val="28"/>
          <w:szCs w:val="28"/>
        </w:rPr>
        <w:t>ESP</w:t>
      </w:r>
      <w:r>
        <w:rPr>
          <w:rFonts w:ascii="Arial" w:hAnsi="Arial" w:hint="eastAsia"/>
          <w:sz w:val="28"/>
          <w:szCs w:val="28"/>
        </w:rPr>
        <w:t>规则下的散货船和油船。因</w:t>
      </w:r>
      <w:r>
        <w:rPr>
          <w:rFonts w:ascii="Arial" w:hAnsi="Arial" w:hint="eastAsia"/>
          <w:sz w:val="28"/>
          <w:szCs w:val="28"/>
        </w:rPr>
        <w:t>RIT</w:t>
      </w:r>
      <w:r>
        <w:rPr>
          <w:rFonts w:ascii="Arial" w:hAnsi="Arial" w:hint="eastAsia"/>
          <w:sz w:val="28"/>
          <w:szCs w:val="28"/>
        </w:rPr>
        <w:t>技术细节还需进一步研究和明确，</w:t>
      </w:r>
      <w:r>
        <w:rPr>
          <w:rFonts w:ascii="Arial" w:hAnsi="Arial"/>
          <w:sz w:val="28"/>
          <w:szCs w:val="28"/>
        </w:rPr>
        <w:t>因此，</w:t>
      </w:r>
      <w:r>
        <w:rPr>
          <w:rFonts w:ascii="Arial" w:hAnsi="Arial" w:hint="eastAsia"/>
          <w:sz w:val="28"/>
          <w:szCs w:val="28"/>
        </w:rPr>
        <w:t>分委会</w:t>
      </w:r>
      <w:r>
        <w:rPr>
          <w:rFonts w:ascii="Arial" w:hAnsi="Arial" w:hint="eastAsia"/>
          <w:sz w:val="28"/>
          <w:szCs w:val="28"/>
        </w:rPr>
        <w:t>决定成立</w:t>
      </w:r>
      <w:r>
        <w:rPr>
          <w:rFonts w:ascii="Arial" w:hAnsi="Arial" w:hint="eastAsia"/>
          <w:sz w:val="28"/>
          <w:szCs w:val="28"/>
        </w:rPr>
        <w:t>会间</w:t>
      </w:r>
      <w:r>
        <w:rPr>
          <w:rFonts w:ascii="Arial" w:hAnsi="Arial" w:hint="eastAsia"/>
          <w:sz w:val="28"/>
          <w:szCs w:val="28"/>
        </w:rPr>
        <w:t>通信组开展工作</w:t>
      </w:r>
      <w:r>
        <w:rPr>
          <w:rFonts w:ascii="Arial" w:hAnsi="Arial"/>
          <w:sz w:val="28"/>
          <w:szCs w:val="28"/>
        </w:rPr>
        <w:t>，</w:t>
      </w:r>
      <w:r>
        <w:rPr>
          <w:rFonts w:ascii="Arial" w:hAnsi="Arial" w:hint="eastAsia"/>
          <w:sz w:val="28"/>
          <w:szCs w:val="28"/>
        </w:rPr>
        <w:t>考虑使用</w:t>
      </w:r>
      <w:r>
        <w:rPr>
          <w:rFonts w:ascii="Arial" w:hAnsi="Arial" w:hint="eastAsia"/>
          <w:sz w:val="28"/>
          <w:szCs w:val="28"/>
        </w:rPr>
        <w:t>RIT</w:t>
      </w:r>
      <w:r>
        <w:rPr>
          <w:rFonts w:ascii="Arial" w:hAnsi="Arial" w:hint="eastAsia"/>
          <w:sz w:val="28"/>
          <w:szCs w:val="28"/>
        </w:rPr>
        <w:t>技术的限制条件和相关状况，</w:t>
      </w:r>
      <w:r>
        <w:rPr>
          <w:rFonts w:ascii="Arial" w:hAnsi="Arial"/>
          <w:sz w:val="28"/>
          <w:szCs w:val="28"/>
        </w:rPr>
        <w:t>审议修订</w:t>
      </w:r>
      <w:r>
        <w:rPr>
          <w:rFonts w:ascii="Arial" w:hAnsi="Arial"/>
          <w:sz w:val="28"/>
          <w:szCs w:val="28"/>
        </w:rPr>
        <w:t>ESP</w:t>
      </w:r>
      <w:r>
        <w:rPr>
          <w:rFonts w:ascii="Arial" w:hAnsi="Arial" w:hint="eastAsia"/>
          <w:sz w:val="28"/>
          <w:szCs w:val="28"/>
        </w:rPr>
        <w:t>规则</w:t>
      </w:r>
      <w:r>
        <w:rPr>
          <w:rFonts w:ascii="Arial" w:hAnsi="Arial" w:hint="eastAsia"/>
          <w:sz w:val="28"/>
          <w:szCs w:val="28"/>
        </w:rPr>
        <w:t>并</w:t>
      </w:r>
      <w:r>
        <w:rPr>
          <w:rFonts w:ascii="Arial" w:hAnsi="Arial"/>
          <w:sz w:val="28"/>
          <w:szCs w:val="28"/>
        </w:rPr>
        <w:t>起草使用</w:t>
      </w:r>
      <w:r>
        <w:rPr>
          <w:rFonts w:ascii="Arial" w:hAnsi="Arial"/>
          <w:sz w:val="28"/>
          <w:szCs w:val="28"/>
        </w:rPr>
        <w:t>RIT</w:t>
      </w:r>
      <w:r>
        <w:rPr>
          <w:rFonts w:ascii="Arial" w:hAnsi="Arial"/>
          <w:sz w:val="28"/>
          <w:szCs w:val="28"/>
        </w:rPr>
        <w:t>进行</w:t>
      </w:r>
      <w:r>
        <w:rPr>
          <w:rFonts w:ascii="Arial" w:hAnsi="Arial" w:hint="eastAsia"/>
          <w:sz w:val="28"/>
          <w:szCs w:val="28"/>
        </w:rPr>
        <w:t>检验</w:t>
      </w:r>
      <w:r>
        <w:rPr>
          <w:rFonts w:ascii="Arial" w:hAnsi="Arial"/>
          <w:sz w:val="28"/>
          <w:szCs w:val="28"/>
        </w:rPr>
        <w:t>的</w:t>
      </w:r>
      <w:r>
        <w:rPr>
          <w:rFonts w:ascii="Arial" w:hAnsi="Arial" w:hint="eastAsia"/>
          <w:sz w:val="28"/>
          <w:szCs w:val="28"/>
        </w:rPr>
        <w:t>指南</w:t>
      </w:r>
      <w:r>
        <w:rPr>
          <w:rFonts w:ascii="Arial" w:hAnsi="Arial"/>
          <w:sz w:val="28"/>
          <w:szCs w:val="28"/>
        </w:rPr>
        <w:t>。</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w:t>
      </w:r>
      <w:r>
        <w:rPr>
          <w:rFonts w:ascii="Arial" w:hAnsi="Arial" w:cs="Arial" w:hint="eastAsia"/>
          <w:b/>
          <w:bCs/>
          <w:sz w:val="28"/>
          <w:szCs w:val="28"/>
        </w:rPr>
        <w:t>四</w:t>
      </w:r>
      <w:r>
        <w:rPr>
          <w:rFonts w:ascii="Arial" w:hAnsi="Arial" w:cs="Arial" w:hint="eastAsia"/>
          <w:b/>
          <w:bCs/>
          <w:sz w:val="28"/>
          <w:szCs w:val="28"/>
        </w:rPr>
        <w:t>）</w:t>
      </w:r>
      <w:r>
        <w:rPr>
          <w:rFonts w:ascii="Arial" w:hAnsi="Arial" w:cs="Arial" w:hint="eastAsia"/>
          <w:b/>
          <w:bCs/>
          <w:sz w:val="28"/>
          <w:szCs w:val="28"/>
        </w:rPr>
        <w:t>SOLAS</w:t>
      </w:r>
      <w:r>
        <w:rPr>
          <w:rFonts w:ascii="Arial" w:hAnsi="Arial" w:cs="Arial" w:hint="eastAsia"/>
          <w:b/>
          <w:bCs/>
          <w:sz w:val="28"/>
          <w:szCs w:val="28"/>
        </w:rPr>
        <w:t>公约第</w:t>
      </w:r>
      <w:r>
        <w:rPr>
          <w:rFonts w:ascii="Arial" w:hAnsi="Arial" w:cs="Arial" w:hint="eastAsia"/>
          <w:b/>
          <w:bCs/>
          <w:sz w:val="28"/>
          <w:szCs w:val="28"/>
        </w:rPr>
        <w:t xml:space="preserve"> II-1</w:t>
      </w:r>
      <w:r>
        <w:rPr>
          <w:rFonts w:ascii="Arial" w:hAnsi="Arial" w:cs="Arial" w:hint="eastAsia"/>
          <w:b/>
          <w:bCs/>
          <w:sz w:val="28"/>
          <w:szCs w:val="28"/>
        </w:rPr>
        <w:t>章替代设计和布置指南的安全目标和功能要求</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本议题旨在弥补</w:t>
      </w:r>
      <w:bookmarkStart w:id="0" w:name="OLE_LINK1"/>
      <w:r>
        <w:rPr>
          <w:rFonts w:ascii="Arial" w:hAnsi="Arial" w:hint="eastAsia"/>
          <w:sz w:val="28"/>
          <w:szCs w:val="28"/>
        </w:rPr>
        <w:t>《经修订的</w:t>
      </w:r>
      <w:r>
        <w:rPr>
          <w:rFonts w:ascii="Arial" w:hAnsi="Arial" w:hint="eastAsia"/>
          <w:sz w:val="28"/>
          <w:szCs w:val="28"/>
        </w:rPr>
        <w:t xml:space="preserve"> SOLAS </w:t>
      </w:r>
      <w:r>
        <w:rPr>
          <w:rFonts w:ascii="Arial" w:hAnsi="Arial" w:hint="eastAsia"/>
          <w:sz w:val="28"/>
          <w:szCs w:val="28"/>
        </w:rPr>
        <w:t>公约第</w:t>
      </w:r>
      <w:r>
        <w:rPr>
          <w:rFonts w:ascii="Arial" w:hAnsi="Arial" w:hint="eastAsia"/>
          <w:sz w:val="28"/>
          <w:szCs w:val="28"/>
        </w:rPr>
        <w:t xml:space="preserve"> II-1 </w:t>
      </w:r>
      <w:r>
        <w:rPr>
          <w:rFonts w:ascii="Arial" w:hAnsi="Arial" w:hint="eastAsia"/>
          <w:sz w:val="28"/>
          <w:szCs w:val="28"/>
        </w:rPr>
        <w:t>章和第</w:t>
      </w:r>
      <w:r>
        <w:rPr>
          <w:rFonts w:ascii="Arial" w:hAnsi="Arial" w:hint="eastAsia"/>
          <w:sz w:val="28"/>
          <w:szCs w:val="28"/>
        </w:rPr>
        <w:t xml:space="preserve"> III </w:t>
      </w:r>
      <w:r>
        <w:rPr>
          <w:rFonts w:ascii="Arial" w:hAnsi="Arial" w:hint="eastAsia"/>
          <w:sz w:val="28"/>
          <w:szCs w:val="28"/>
        </w:rPr>
        <w:t>章替代设计和布置指南》</w:t>
      </w:r>
      <w:bookmarkEnd w:id="0"/>
      <w:r>
        <w:rPr>
          <w:rFonts w:ascii="Arial" w:hAnsi="Arial" w:hint="eastAsia"/>
          <w:sz w:val="28"/>
          <w:szCs w:val="28"/>
        </w:rPr>
        <w:t>(MSC.1/Circ.1212/Re</w:t>
      </w:r>
      <w:r>
        <w:rPr>
          <w:rFonts w:ascii="Arial" w:hAnsi="Arial" w:hint="eastAsia"/>
          <w:sz w:val="28"/>
          <w:szCs w:val="28"/>
        </w:rPr>
        <w:t>v.1)</w:t>
      </w:r>
      <w:r>
        <w:rPr>
          <w:rFonts w:ascii="Arial" w:hAnsi="Arial" w:hint="eastAsia"/>
          <w:sz w:val="28"/>
          <w:szCs w:val="28"/>
        </w:rPr>
        <w:t>中有关</w:t>
      </w:r>
      <w:r>
        <w:rPr>
          <w:rFonts w:ascii="Arial" w:hAnsi="Arial" w:hint="eastAsia"/>
          <w:sz w:val="28"/>
          <w:szCs w:val="28"/>
        </w:rPr>
        <w:t>SOLAS</w:t>
      </w:r>
      <w:r>
        <w:rPr>
          <w:rFonts w:ascii="Arial" w:hAnsi="Arial" w:hint="eastAsia"/>
          <w:sz w:val="28"/>
          <w:szCs w:val="28"/>
        </w:rPr>
        <w:t>公约第</w:t>
      </w:r>
      <w:r>
        <w:rPr>
          <w:rFonts w:ascii="Arial" w:hAnsi="Arial" w:hint="eastAsia"/>
          <w:sz w:val="28"/>
          <w:szCs w:val="28"/>
        </w:rPr>
        <w:t>II-1</w:t>
      </w:r>
      <w:r>
        <w:rPr>
          <w:rFonts w:ascii="Arial" w:hAnsi="Arial" w:hint="eastAsia"/>
          <w:sz w:val="28"/>
          <w:szCs w:val="28"/>
        </w:rPr>
        <w:t>章</w:t>
      </w:r>
      <w:r>
        <w:rPr>
          <w:rFonts w:ascii="Arial" w:hAnsi="Arial" w:hint="eastAsia"/>
          <w:sz w:val="28"/>
          <w:szCs w:val="28"/>
        </w:rPr>
        <w:t>C</w:t>
      </w:r>
      <w:r>
        <w:rPr>
          <w:rFonts w:ascii="Arial" w:hAnsi="Arial" w:hint="eastAsia"/>
          <w:sz w:val="28"/>
          <w:szCs w:val="28"/>
        </w:rPr>
        <w:t>、</w:t>
      </w:r>
      <w:r>
        <w:rPr>
          <w:rFonts w:ascii="Arial" w:hAnsi="Arial" w:hint="eastAsia"/>
          <w:sz w:val="28"/>
          <w:szCs w:val="28"/>
        </w:rPr>
        <w:t>D</w:t>
      </w:r>
      <w:r>
        <w:rPr>
          <w:rFonts w:ascii="Arial" w:hAnsi="Arial" w:hint="eastAsia"/>
          <w:sz w:val="28"/>
          <w:szCs w:val="28"/>
        </w:rPr>
        <w:t>、</w:t>
      </w:r>
      <w:r>
        <w:rPr>
          <w:rFonts w:ascii="Arial" w:hAnsi="Arial" w:hint="eastAsia"/>
          <w:sz w:val="28"/>
          <w:szCs w:val="28"/>
        </w:rPr>
        <w:t>E</w:t>
      </w:r>
      <w:r>
        <w:rPr>
          <w:rFonts w:ascii="Arial" w:hAnsi="Arial" w:hint="eastAsia"/>
          <w:sz w:val="28"/>
          <w:szCs w:val="28"/>
        </w:rPr>
        <w:t>三部分的目标、功能要求</w:t>
      </w:r>
      <w:r>
        <w:rPr>
          <w:rFonts w:ascii="Arial" w:hAnsi="Arial" w:hint="eastAsia"/>
          <w:sz w:val="28"/>
          <w:szCs w:val="28"/>
        </w:rPr>
        <w:t>(FR)</w:t>
      </w:r>
      <w:r>
        <w:rPr>
          <w:rFonts w:ascii="Arial" w:hAnsi="Arial" w:hint="eastAsia"/>
          <w:sz w:val="28"/>
          <w:szCs w:val="28"/>
        </w:rPr>
        <w:t>和预期性能</w:t>
      </w:r>
      <w:r>
        <w:rPr>
          <w:rFonts w:ascii="Arial" w:hAnsi="Arial" w:hint="eastAsia"/>
          <w:sz w:val="28"/>
          <w:szCs w:val="28"/>
        </w:rPr>
        <w:t>(EP)</w:t>
      </w:r>
      <w:r>
        <w:rPr>
          <w:rFonts w:ascii="Arial" w:hAnsi="Arial" w:hint="eastAsia"/>
          <w:sz w:val="28"/>
          <w:szCs w:val="28"/>
        </w:rPr>
        <w:t>的缺失，涉及机械装置和电气装置方面的规定以及周期性无人值班机器处所的附加要求。</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本次会议最终定稿了</w:t>
      </w:r>
      <w:r>
        <w:rPr>
          <w:rFonts w:ascii="Arial" w:hAnsi="Arial" w:hint="eastAsia"/>
          <w:sz w:val="28"/>
          <w:szCs w:val="28"/>
        </w:rPr>
        <w:t>SOLAS</w:t>
      </w:r>
      <w:r>
        <w:rPr>
          <w:rFonts w:ascii="Arial" w:hAnsi="Arial" w:hint="eastAsia"/>
          <w:sz w:val="28"/>
          <w:szCs w:val="28"/>
        </w:rPr>
        <w:t>公约第</w:t>
      </w:r>
      <w:r>
        <w:rPr>
          <w:rFonts w:ascii="Arial" w:hAnsi="Arial" w:hint="eastAsia"/>
          <w:sz w:val="28"/>
          <w:szCs w:val="28"/>
        </w:rPr>
        <w:t>II-1</w:t>
      </w:r>
      <w:r>
        <w:rPr>
          <w:rFonts w:ascii="Arial" w:hAnsi="Arial" w:hint="eastAsia"/>
          <w:sz w:val="28"/>
          <w:szCs w:val="28"/>
        </w:rPr>
        <w:t>章</w:t>
      </w:r>
      <w:r>
        <w:rPr>
          <w:rFonts w:ascii="Arial" w:hAnsi="Arial" w:hint="eastAsia"/>
          <w:sz w:val="28"/>
          <w:szCs w:val="28"/>
        </w:rPr>
        <w:t>C</w:t>
      </w:r>
      <w:r>
        <w:rPr>
          <w:rFonts w:ascii="Arial" w:hAnsi="Arial" w:hint="eastAsia"/>
          <w:sz w:val="28"/>
          <w:szCs w:val="28"/>
        </w:rPr>
        <w:t>部分、</w:t>
      </w:r>
      <w:r>
        <w:rPr>
          <w:rFonts w:ascii="Arial" w:hAnsi="Arial" w:hint="eastAsia"/>
          <w:sz w:val="28"/>
          <w:szCs w:val="28"/>
        </w:rPr>
        <w:t>D</w:t>
      </w:r>
      <w:r>
        <w:rPr>
          <w:rFonts w:ascii="Arial" w:hAnsi="Arial" w:hint="eastAsia"/>
          <w:sz w:val="28"/>
          <w:szCs w:val="28"/>
        </w:rPr>
        <w:t>部分和</w:t>
      </w:r>
      <w:r>
        <w:rPr>
          <w:rFonts w:ascii="Arial" w:hAnsi="Arial" w:hint="eastAsia"/>
          <w:sz w:val="28"/>
          <w:szCs w:val="28"/>
        </w:rPr>
        <w:t>E</w:t>
      </w:r>
      <w:r>
        <w:rPr>
          <w:rFonts w:ascii="Arial" w:hAnsi="Arial" w:hint="eastAsia"/>
          <w:sz w:val="28"/>
          <w:szCs w:val="28"/>
        </w:rPr>
        <w:t>部分的目标、功能要求和预期性能的草案。该草案将作为</w:t>
      </w:r>
      <w:r>
        <w:rPr>
          <w:rFonts w:ascii="Arial" w:hAnsi="Arial" w:hint="eastAsia"/>
          <w:sz w:val="28"/>
          <w:szCs w:val="28"/>
        </w:rPr>
        <w:t>MSC.1/Circ.1212/Rev.1</w:t>
      </w:r>
      <w:r>
        <w:rPr>
          <w:rFonts w:ascii="Arial" w:hAnsi="Arial" w:hint="eastAsia"/>
          <w:sz w:val="28"/>
          <w:szCs w:val="28"/>
        </w:rPr>
        <w:t>的修订文本纳入，拟提交至</w:t>
      </w:r>
      <w:r>
        <w:rPr>
          <w:rFonts w:ascii="Arial" w:hAnsi="Arial" w:hint="eastAsia"/>
          <w:sz w:val="28"/>
          <w:szCs w:val="28"/>
        </w:rPr>
        <w:t>MSC108</w:t>
      </w:r>
      <w:r>
        <w:rPr>
          <w:rFonts w:ascii="Arial" w:hAnsi="Arial" w:hint="eastAsia"/>
          <w:sz w:val="28"/>
          <w:szCs w:val="28"/>
        </w:rPr>
        <w:t>批准并以</w:t>
      </w:r>
      <w:r>
        <w:rPr>
          <w:rFonts w:ascii="Arial" w:hAnsi="Arial" w:hint="eastAsia"/>
          <w:sz w:val="28"/>
          <w:szCs w:val="28"/>
        </w:rPr>
        <w:t>MSC.1/Circ.1212/Rev.2</w:t>
      </w:r>
      <w:r>
        <w:rPr>
          <w:rFonts w:ascii="Arial" w:hAnsi="Arial" w:hint="eastAsia"/>
          <w:sz w:val="28"/>
          <w:szCs w:val="28"/>
        </w:rPr>
        <w:t>发布。</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分委会注意到，</w:t>
      </w:r>
      <w:r>
        <w:rPr>
          <w:rFonts w:ascii="Arial" w:hAnsi="Arial" w:hint="eastAsia"/>
          <w:sz w:val="28"/>
          <w:szCs w:val="28"/>
        </w:rPr>
        <w:t>SOLAS</w:t>
      </w:r>
      <w:r>
        <w:rPr>
          <w:rFonts w:ascii="Arial" w:hAnsi="Arial" w:hint="eastAsia"/>
          <w:sz w:val="28"/>
          <w:szCs w:val="28"/>
        </w:rPr>
        <w:t>第</w:t>
      </w:r>
      <w:r>
        <w:rPr>
          <w:rFonts w:ascii="Arial" w:hAnsi="Arial" w:hint="eastAsia"/>
          <w:sz w:val="28"/>
          <w:szCs w:val="28"/>
        </w:rPr>
        <w:t>II-1</w:t>
      </w:r>
      <w:r>
        <w:rPr>
          <w:rFonts w:ascii="Arial" w:hAnsi="Arial" w:hint="eastAsia"/>
          <w:sz w:val="28"/>
          <w:szCs w:val="28"/>
        </w:rPr>
        <w:t>章</w:t>
      </w:r>
      <w:r>
        <w:rPr>
          <w:rFonts w:ascii="Arial" w:hAnsi="Arial" w:hint="eastAsia"/>
          <w:sz w:val="28"/>
          <w:szCs w:val="28"/>
        </w:rPr>
        <w:t>C</w:t>
      </w:r>
      <w:r>
        <w:rPr>
          <w:rFonts w:ascii="Arial" w:hAnsi="Arial" w:hint="eastAsia"/>
          <w:sz w:val="28"/>
          <w:szCs w:val="28"/>
        </w:rPr>
        <w:t>部分第</w:t>
      </w:r>
      <w:r>
        <w:rPr>
          <w:rFonts w:ascii="Arial" w:hAnsi="Arial" w:hint="eastAsia"/>
          <w:sz w:val="28"/>
          <w:szCs w:val="28"/>
        </w:rPr>
        <w:t>28</w:t>
      </w:r>
      <w:r>
        <w:rPr>
          <w:rFonts w:ascii="Arial" w:hAnsi="Arial" w:hint="eastAsia"/>
          <w:sz w:val="28"/>
          <w:szCs w:val="28"/>
        </w:rPr>
        <w:t>、</w:t>
      </w:r>
      <w:r>
        <w:rPr>
          <w:rFonts w:ascii="Arial" w:hAnsi="Arial" w:hint="eastAsia"/>
          <w:sz w:val="28"/>
          <w:szCs w:val="28"/>
        </w:rPr>
        <w:t>29</w:t>
      </w:r>
      <w:r>
        <w:rPr>
          <w:rFonts w:ascii="Arial" w:hAnsi="Arial" w:hint="eastAsia"/>
          <w:sz w:val="28"/>
          <w:szCs w:val="28"/>
        </w:rPr>
        <w:t>和</w:t>
      </w:r>
      <w:r>
        <w:rPr>
          <w:rFonts w:ascii="Arial" w:hAnsi="Arial" w:hint="eastAsia"/>
          <w:sz w:val="28"/>
          <w:szCs w:val="28"/>
        </w:rPr>
        <w:t>30</w:t>
      </w:r>
      <w:r>
        <w:rPr>
          <w:rFonts w:ascii="Arial" w:hAnsi="Arial" w:hint="eastAsia"/>
          <w:sz w:val="28"/>
          <w:szCs w:val="28"/>
        </w:rPr>
        <w:t>条正在本次会议的议程</w:t>
      </w:r>
      <w:r>
        <w:rPr>
          <w:rFonts w:ascii="Arial" w:hAnsi="Arial" w:hint="eastAsia"/>
          <w:sz w:val="28"/>
          <w:szCs w:val="28"/>
        </w:rPr>
        <w:t>8</w:t>
      </w:r>
      <w:r>
        <w:rPr>
          <w:rFonts w:ascii="Arial" w:hAnsi="Arial" w:hint="eastAsia"/>
          <w:sz w:val="28"/>
          <w:szCs w:val="28"/>
        </w:rPr>
        <w:t>中审</w:t>
      </w:r>
      <w:r>
        <w:rPr>
          <w:rFonts w:ascii="Arial" w:hAnsi="Arial" w:hint="eastAsia"/>
          <w:sz w:val="28"/>
          <w:szCs w:val="28"/>
        </w:rPr>
        <w:t>议，待这些条款修正案定稿后，这些条款的目标、功能要求和预期性能将在议程</w:t>
      </w:r>
      <w:r>
        <w:rPr>
          <w:rFonts w:ascii="Arial" w:hAnsi="Arial" w:hint="eastAsia"/>
          <w:sz w:val="28"/>
          <w:szCs w:val="28"/>
        </w:rPr>
        <w:t>8</w:t>
      </w:r>
      <w:r>
        <w:rPr>
          <w:rFonts w:ascii="Arial" w:hAnsi="Arial" w:hint="eastAsia"/>
          <w:sz w:val="28"/>
          <w:szCs w:val="28"/>
        </w:rPr>
        <w:t>下制定，并可以纳入到今后的</w:t>
      </w:r>
      <w:r>
        <w:rPr>
          <w:rFonts w:ascii="Arial" w:hAnsi="Arial" w:hint="eastAsia"/>
          <w:sz w:val="28"/>
          <w:szCs w:val="28"/>
        </w:rPr>
        <w:t>MSC.1/Circ.1212/Rev.3</w:t>
      </w:r>
      <w:r>
        <w:rPr>
          <w:rFonts w:ascii="Arial" w:hAnsi="Arial" w:hint="eastAsia"/>
          <w:sz w:val="28"/>
          <w:szCs w:val="28"/>
        </w:rPr>
        <w:t>。</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本议题的产出，对于衡量船舶（包括新能源船舶）机电系统新颖设计的有效性和公约符合性至关重要。如果替代设计和布置达到</w:t>
      </w:r>
      <w:r>
        <w:rPr>
          <w:rFonts w:ascii="Arial" w:hAnsi="Arial" w:hint="eastAsia"/>
          <w:sz w:val="28"/>
          <w:szCs w:val="28"/>
        </w:rPr>
        <w:t>SOLAS</w:t>
      </w:r>
      <w:r>
        <w:rPr>
          <w:rFonts w:ascii="Arial" w:hAnsi="Arial" w:hint="eastAsia"/>
          <w:sz w:val="28"/>
          <w:szCs w:val="28"/>
        </w:rPr>
        <w:t>公约第</w:t>
      </w:r>
      <w:r>
        <w:rPr>
          <w:rFonts w:ascii="Arial" w:hAnsi="Arial" w:hint="eastAsia"/>
          <w:sz w:val="28"/>
          <w:szCs w:val="28"/>
        </w:rPr>
        <w:t xml:space="preserve"> II-1</w:t>
      </w:r>
      <w:r>
        <w:rPr>
          <w:rFonts w:ascii="Arial" w:hAnsi="Arial" w:hint="eastAsia"/>
          <w:sz w:val="28"/>
          <w:szCs w:val="28"/>
        </w:rPr>
        <w:t>章等效的安全水平，机电设备的设计和布置可突破</w:t>
      </w:r>
      <w:r>
        <w:rPr>
          <w:rFonts w:ascii="Arial" w:hAnsi="Arial" w:hint="eastAsia"/>
          <w:sz w:val="28"/>
          <w:szCs w:val="28"/>
        </w:rPr>
        <w:t>C</w:t>
      </w:r>
      <w:r>
        <w:rPr>
          <w:rFonts w:ascii="Arial" w:hAnsi="Arial" w:hint="eastAsia"/>
          <w:sz w:val="28"/>
          <w:szCs w:val="28"/>
        </w:rPr>
        <w:t>、</w:t>
      </w:r>
      <w:r>
        <w:rPr>
          <w:rFonts w:ascii="Arial" w:hAnsi="Arial" w:hint="eastAsia"/>
          <w:sz w:val="28"/>
          <w:szCs w:val="28"/>
        </w:rPr>
        <w:t>D</w:t>
      </w:r>
      <w:r>
        <w:rPr>
          <w:rFonts w:ascii="Arial" w:hAnsi="Arial" w:hint="eastAsia"/>
          <w:sz w:val="28"/>
          <w:szCs w:val="28"/>
        </w:rPr>
        <w:t>和</w:t>
      </w:r>
      <w:r>
        <w:rPr>
          <w:rFonts w:ascii="Arial" w:hAnsi="Arial" w:hint="eastAsia"/>
          <w:sz w:val="28"/>
          <w:szCs w:val="28"/>
        </w:rPr>
        <w:t>E</w:t>
      </w:r>
      <w:r>
        <w:rPr>
          <w:rFonts w:ascii="Arial" w:hAnsi="Arial" w:hint="eastAsia"/>
          <w:sz w:val="28"/>
          <w:szCs w:val="28"/>
        </w:rPr>
        <w:t>部分的描述性规定要求。</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lastRenderedPageBreak/>
        <w:t>（</w:t>
      </w:r>
      <w:r>
        <w:rPr>
          <w:rFonts w:ascii="Arial" w:hAnsi="Arial" w:cs="Arial" w:hint="eastAsia"/>
          <w:b/>
          <w:bCs/>
          <w:sz w:val="28"/>
          <w:szCs w:val="28"/>
        </w:rPr>
        <w:t>五</w:t>
      </w:r>
      <w:r>
        <w:rPr>
          <w:rFonts w:ascii="Arial" w:hAnsi="Arial" w:cs="Arial" w:hint="eastAsia"/>
          <w:b/>
          <w:bCs/>
          <w:sz w:val="28"/>
          <w:szCs w:val="28"/>
        </w:rPr>
        <w:t>）</w:t>
      </w:r>
      <w:r>
        <w:rPr>
          <w:rFonts w:ascii="Arial" w:hAnsi="Arial" w:cs="Arial" w:hint="eastAsia"/>
          <w:b/>
          <w:bCs/>
          <w:sz w:val="28"/>
          <w:szCs w:val="28"/>
        </w:rPr>
        <w:t>修订有关船舶转向和推进要求的</w:t>
      </w:r>
      <w:r>
        <w:rPr>
          <w:rFonts w:ascii="Arial" w:hAnsi="Arial" w:cs="Arial" w:hint="eastAsia"/>
          <w:b/>
          <w:bCs/>
          <w:sz w:val="28"/>
          <w:szCs w:val="28"/>
        </w:rPr>
        <w:t>SOLAS</w:t>
      </w:r>
      <w:r>
        <w:rPr>
          <w:rFonts w:ascii="Arial" w:hAnsi="Arial" w:cs="Arial" w:hint="eastAsia"/>
          <w:b/>
          <w:bCs/>
          <w:sz w:val="28"/>
          <w:szCs w:val="28"/>
        </w:rPr>
        <w:t>公约</w:t>
      </w:r>
      <w:r>
        <w:rPr>
          <w:rFonts w:ascii="Arial" w:hAnsi="Arial" w:cs="Arial" w:hint="eastAsia"/>
          <w:b/>
          <w:bCs/>
          <w:sz w:val="28"/>
          <w:szCs w:val="28"/>
        </w:rPr>
        <w:t>第</w:t>
      </w:r>
      <w:r>
        <w:rPr>
          <w:rFonts w:ascii="Arial" w:hAnsi="Arial" w:cs="Arial" w:hint="eastAsia"/>
          <w:b/>
          <w:bCs/>
          <w:sz w:val="28"/>
          <w:szCs w:val="28"/>
        </w:rPr>
        <w:t>II-1</w:t>
      </w:r>
      <w:r>
        <w:rPr>
          <w:rFonts w:ascii="Arial" w:hAnsi="Arial" w:cs="Arial" w:hint="eastAsia"/>
          <w:b/>
          <w:bCs/>
          <w:sz w:val="28"/>
          <w:szCs w:val="28"/>
        </w:rPr>
        <w:t>章</w:t>
      </w:r>
      <w:r>
        <w:rPr>
          <w:rFonts w:ascii="Arial" w:hAnsi="Arial" w:cs="Arial" w:hint="eastAsia"/>
          <w:b/>
          <w:bCs/>
          <w:sz w:val="28"/>
          <w:szCs w:val="28"/>
        </w:rPr>
        <w:t>(C</w:t>
      </w:r>
      <w:r>
        <w:rPr>
          <w:rFonts w:ascii="Arial" w:hAnsi="Arial" w:cs="Arial" w:hint="eastAsia"/>
          <w:b/>
          <w:bCs/>
          <w:sz w:val="28"/>
          <w:szCs w:val="28"/>
        </w:rPr>
        <w:t>部分</w:t>
      </w:r>
      <w:r>
        <w:rPr>
          <w:rFonts w:ascii="Arial" w:hAnsi="Arial" w:cs="Arial" w:hint="eastAsia"/>
          <w:b/>
          <w:bCs/>
          <w:sz w:val="28"/>
          <w:szCs w:val="28"/>
        </w:rPr>
        <w:t>)</w:t>
      </w:r>
      <w:r>
        <w:rPr>
          <w:rFonts w:ascii="Arial" w:hAnsi="Arial" w:cs="Arial" w:hint="eastAsia"/>
          <w:b/>
          <w:bCs/>
          <w:sz w:val="28"/>
          <w:szCs w:val="28"/>
        </w:rPr>
        <w:t>和第</w:t>
      </w:r>
      <w:r>
        <w:rPr>
          <w:rFonts w:ascii="Arial" w:hAnsi="Arial" w:cs="Arial" w:hint="eastAsia"/>
          <w:b/>
          <w:bCs/>
          <w:sz w:val="28"/>
          <w:szCs w:val="28"/>
        </w:rPr>
        <w:t>V</w:t>
      </w:r>
      <w:r>
        <w:rPr>
          <w:rFonts w:ascii="Arial" w:hAnsi="Arial" w:cs="Arial" w:hint="eastAsia"/>
          <w:b/>
          <w:bCs/>
          <w:sz w:val="28"/>
          <w:szCs w:val="28"/>
        </w:rPr>
        <w:t>章以及相关文件以兼顾传统和非传统推进和转向系统</w:t>
      </w:r>
      <w:r>
        <w:rPr>
          <w:rFonts w:ascii="Arial" w:hAnsi="Arial" w:cs="Arial" w:hint="eastAsia"/>
          <w:b/>
          <w:bCs/>
          <w:sz w:val="28"/>
          <w:szCs w:val="28"/>
        </w:rPr>
        <w:t>（</w:t>
      </w:r>
      <w:r>
        <w:rPr>
          <w:rFonts w:ascii="Arial" w:hAnsi="Arial" w:cs="Arial" w:hint="eastAsia"/>
          <w:b/>
          <w:bCs/>
          <w:sz w:val="28"/>
          <w:szCs w:val="28"/>
        </w:rPr>
        <w:t>议程</w:t>
      </w:r>
      <w:r>
        <w:rPr>
          <w:rFonts w:ascii="Arial" w:hAnsi="Arial" w:cs="Arial" w:hint="eastAsia"/>
          <w:b/>
          <w:bCs/>
          <w:sz w:val="28"/>
          <w:szCs w:val="28"/>
        </w:rPr>
        <w:t>8</w:t>
      </w:r>
      <w:r>
        <w:rPr>
          <w:rFonts w:ascii="Arial" w:hAnsi="Arial" w:cs="Arial" w:hint="eastAsia"/>
          <w:b/>
          <w:bCs/>
          <w:sz w:val="28"/>
          <w:szCs w:val="28"/>
        </w:rPr>
        <w:t>）</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SOLAS</w:t>
      </w:r>
      <w:r>
        <w:rPr>
          <w:rFonts w:ascii="Arial" w:hAnsi="Arial" w:hint="eastAsia"/>
          <w:sz w:val="28"/>
          <w:szCs w:val="28"/>
        </w:rPr>
        <w:t>公约有关船舶转向和推进方面的规定主要是基于单螺旋桨和单舵组合的系统制定的。船舶设计和建造历经多年的发展，当今的现代推进</w:t>
      </w:r>
      <w:r>
        <w:rPr>
          <w:rFonts w:ascii="Arial" w:hAnsi="Arial" w:hint="eastAsia"/>
          <w:sz w:val="28"/>
          <w:szCs w:val="28"/>
        </w:rPr>
        <w:t>/</w:t>
      </w:r>
      <w:r>
        <w:rPr>
          <w:rFonts w:ascii="Arial" w:hAnsi="Arial" w:hint="eastAsia"/>
          <w:sz w:val="28"/>
          <w:szCs w:val="28"/>
        </w:rPr>
        <w:t>转向系统与传统型系统已完全不同，诸如全方位推进器、吊舱式推进器、喷水推进器和摆线推进器等，将转向装置、推进器乃至驱动机械组合成一体。因此，现行的</w:t>
      </w:r>
      <w:r>
        <w:rPr>
          <w:rFonts w:ascii="Arial" w:hAnsi="Arial" w:hint="eastAsia"/>
          <w:sz w:val="28"/>
          <w:szCs w:val="28"/>
        </w:rPr>
        <w:t>SOLAS</w:t>
      </w:r>
      <w:r>
        <w:rPr>
          <w:rFonts w:ascii="Arial" w:hAnsi="Arial" w:hint="eastAsia"/>
          <w:sz w:val="28"/>
          <w:szCs w:val="28"/>
        </w:rPr>
        <w:t>公约有关转向和推进方面的安全规定已不能直接适用于此类非传统装置。为此，</w:t>
      </w:r>
      <w:r>
        <w:rPr>
          <w:rFonts w:ascii="Arial" w:hAnsi="Arial" w:hint="eastAsia"/>
          <w:sz w:val="28"/>
          <w:szCs w:val="28"/>
        </w:rPr>
        <w:t>IMO</w:t>
      </w:r>
      <w:r>
        <w:rPr>
          <w:rFonts w:ascii="Arial" w:hAnsi="Arial" w:hint="eastAsia"/>
          <w:sz w:val="28"/>
          <w:szCs w:val="28"/>
        </w:rPr>
        <w:t>决定开展相关公约修订工作。</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针对基于目标的修订有关船舶转向和推进要求的</w:t>
      </w:r>
      <w:r>
        <w:rPr>
          <w:rFonts w:ascii="Arial" w:hAnsi="Arial" w:hint="eastAsia"/>
          <w:sz w:val="28"/>
          <w:szCs w:val="28"/>
        </w:rPr>
        <w:t>SOLAS</w:t>
      </w:r>
      <w:r>
        <w:rPr>
          <w:rFonts w:ascii="Arial" w:hAnsi="Arial" w:hint="eastAsia"/>
          <w:sz w:val="28"/>
          <w:szCs w:val="28"/>
        </w:rPr>
        <w:t>第</w:t>
      </w:r>
      <w:r>
        <w:rPr>
          <w:rFonts w:ascii="Arial" w:hAnsi="Arial" w:hint="eastAsia"/>
          <w:sz w:val="28"/>
          <w:szCs w:val="28"/>
        </w:rPr>
        <w:t>II-1</w:t>
      </w:r>
      <w:r>
        <w:rPr>
          <w:rFonts w:ascii="Arial" w:hAnsi="Arial" w:hint="eastAsia"/>
          <w:sz w:val="28"/>
          <w:szCs w:val="28"/>
        </w:rPr>
        <w:t>章</w:t>
      </w:r>
      <w:r>
        <w:rPr>
          <w:rFonts w:ascii="Arial" w:hAnsi="Arial" w:hint="eastAsia"/>
          <w:sz w:val="28"/>
          <w:szCs w:val="28"/>
        </w:rPr>
        <w:t>(C</w:t>
      </w:r>
      <w:r>
        <w:rPr>
          <w:rFonts w:ascii="Arial" w:hAnsi="Arial" w:hint="eastAsia"/>
          <w:sz w:val="28"/>
          <w:szCs w:val="28"/>
        </w:rPr>
        <w:t>部分</w:t>
      </w:r>
      <w:r>
        <w:rPr>
          <w:rFonts w:ascii="Arial" w:hAnsi="Arial" w:hint="eastAsia"/>
          <w:sz w:val="28"/>
          <w:szCs w:val="28"/>
        </w:rPr>
        <w:t>)</w:t>
      </w:r>
      <w:r>
        <w:rPr>
          <w:rFonts w:ascii="Arial" w:hAnsi="Arial" w:hint="eastAsia"/>
          <w:sz w:val="28"/>
          <w:szCs w:val="28"/>
        </w:rPr>
        <w:t>和第</w:t>
      </w:r>
      <w:r>
        <w:rPr>
          <w:rFonts w:ascii="Arial" w:hAnsi="Arial" w:hint="eastAsia"/>
          <w:sz w:val="28"/>
          <w:szCs w:val="28"/>
        </w:rPr>
        <w:t>V</w:t>
      </w:r>
      <w:r>
        <w:rPr>
          <w:rFonts w:ascii="Arial" w:hAnsi="Arial" w:hint="eastAsia"/>
          <w:sz w:val="28"/>
          <w:szCs w:val="28"/>
        </w:rPr>
        <w:t>章以及相关文件，</w:t>
      </w:r>
      <w:r>
        <w:rPr>
          <w:rFonts w:ascii="Arial" w:hAnsi="Arial" w:hint="eastAsia"/>
          <w:sz w:val="28"/>
          <w:szCs w:val="28"/>
        </w:rPr>
        <w:t>本次会议</w:t>
      </w:r>
      <w:r>
        <w:rPr>
          <w:rFonts w:ascii="Arial" w:hAnsi="Arial" w:hint="eastAsia"/>
          <w:sz w:val="28"/>
          <w:szCs w:val="28"/>
        </w:rPr>
        <w:t>就</w:t>
      </w:r>
      <w:r>
        <w:rPr>
          <w:rFonts w:ascii="Arial" w:hAnsi="Arial" w:hint="eastAsia"/>
          <w:sz w:val="28"/>
          <w:szCs w:val="28"/>
        </w:rPr>
        <w:t>修正案的</w:t>
      </w:r>
      <w:r>
        <w:rPr>
          <w:rFonts w:ascii="Arial" w:hAnsi="Arial" w:hint="eastAsia"/>
          <w:sz w:val="28"/>
          <w:szCs w:val="28"/>
        </w:rPr>
        <w:t>适用范围作</w:t>
      </w:r>
      <w:r>
        <w:rPr>
          <w:rFonts w:ascii="Arial" w:hAnsi="Arial" w:hint="eastAsia"/>
          <w:sz w:val="28"/>
          <w:szCs w:val="28"/>
        </w:rPr>
        <w:t>了</w:t>
      </w:r>
      <w:r>
        <w:rPr>
          <w:rFonts w:ascii="Arial" w:hAnsi="Arial" w:hint="eastAsia"/>
          <w:sz w:val="28"/>
          <w:szCs w:val="28"/>
        </w:rPr>
        <w:t>讨论</w:t>
      </w:r>
      <w:r>
        <w:rPr>
          <w:rFonts w:ascii="Arial" w:hAnsi="Arial" w:hint="eastAsia"/>
          <w:sz w:val="28"/>
          <w:szCs w:val="28"/>
        </w:rPr>
        <w:t>澄清，明确</w:t>
      </w:r>
      <w:r>
        <w:rPr>
          <w:rFonts w:ascii="Arial" w:hAnsi="Arial" w:hint="eastAsia"/>
          <w:sz w:val="28"/>
          <w:szCs w:val="28"/>
        </w:rPr>
        <w:t>不修改原有的工作产出范围，也就是说</w:t>
      </w:r>
      <w:r>
        <w:rPr>
          <w:rFonts w:ascii="Arial" w:hAnsi="Arial" w:hint="eastAsia"/>
          <w:sz w:val="28"/>
          <w:szCs w:val="28"/>
        </w:rPr>
        <w:t>将来的修正案不仅适用于非传统系统，也适用于传统系统，但都应适用于新造船</w:t>
      </w:r>
      <w:r>
        <w:rPr>
          <w:rFonts w:ascii="Arial" w:hAnsi="Arial" w:hint="eastAsia"/>
          <w:sz w:val="28"/>
          <w:szCs w:val="28"/>
        </w:rPr>
        <w:t>，同时保留现有条款以适用于现有船。因会议时间有限，需要讨论的技术细节较多，分委会决定</w:t>
      </w:r>
      <w:r>
        <w:rPr>
          <w:rFonts w:ascii="Arial" w:hAnsi="Arial" w:hint="eastAsia"/>
          <w:sz w:val="28"/>
          <w:szCs w:val="28"/>
        </w:rPr>
        <w:t>成立</w:t>
      </w:r>
      <w:r>
        <w:rPr>
          <w:rFonts w:ascii="Arial" w:hAnsi="Arial" w:hint="eastAsia"/>
          <w:sz w:val="28"/>
          <w:szCs w:val="28"/>
        </w:rPr>
        <w:t>会间通信工作组，开展</w:t>
      </w:r>
      <w:r>
        <w:rPr>
          <w:rFonts w:ascii="Arial" w:hAnsi="Arial" w:hint="eastAsia"/>
          <w:sz w:val="28"/>
          <w:szCs w:val="28"/>
        </w:rPr>
        <w:t>SOLAS</w:t>
      </w:r>
      <w:r>
        <w:rPr>
          <w:rFonts w:ascii="Arial" w:hAnsi="Arial" w:hint="eastAsia"/>
          <w:sz w:val="28"/>
          <w:szCs w:val="28"/>
        </w:rPr>
        <w:t>公约修正案和相关非强制性决议和解释性文件修订的</w:t>
      </w:r>
      <w:r>
        <w:rPr>
          <w:rFonts w:ascii="Arial" w:hAnsi="Arial" w:hint="eastAsia"/>
          <w:sz w:val="28"/>
          <w:szCs w:val="28"/>
        </w:rPr>
        <w:t>具体讨论和制定工作。如果能在下届会议</w:t>
      </w:r>
      <w:r>
        <w:rPr>
          <w:rFonts w:ascii="Arial" w:hAnsi="Arial" w:hint="eastAsia"/>
          <w:sz w:val="28"/>
          <w:szCs w:val="28"/>
        </w:rPr>
        <w:t>(SDC11)</w:t>
      </w:r>
      <w:r>
        <w:rPr>
          <w:rFonts w:ascii="Arial" w:hAnsi="Arial" w:hint="eastAsia"/>
          <w:sz w:val="28"/>
          <w:szCs w:val="28"/>
        </w:rPr>
        <w:t>最后</w:t>
      </w:r>
      <w:r>
        <w:rPr>
          <w:rFonts w:ascii="Arial" w:hAnsi="Arial" w:hint="eastAsia"/>
          <w:sz w:val="28"/>
          <w:szCs w:val="28"/>
        </w:rPr>
        <w:t>定稿</w:t>
      </w:r>
      <w:r>
        <w:rPr>
          <w:rFonts w:ascii="Arial" w:hAnsi="Arial" w:hint="eastAsia"/>
          <w:sz w:val="28"/>
          <w:szCs w:val="28"/>
        </w:rPr>
        <w:t>这些修正案草案，</w:t>
      </w:r>
      <w:r>
        <w:rPr>
          <w:rFonts w:ascii="Arial" w:hAnsi="Arial" w:hint="eastAsia"/>
          <w:sz w:val="28"/>
          <w:szCs w:val="28"/>
        </w:rPr>
        <w:t>修正案</w:t>
      </w:r>
      <w:r>
        <w:rPr>
          <w:rFonts w:ascii="Arial" w:hAnsi="Arial" w:hint="eastAsia"/>
          <w:sz w:val="28"/>
          <w:szCs w:val="28"/>
        </w:rPr>
        <w:t>将于</w:t>
      </w:r>
      <w:r>
        <w:rPr>
          <w:rFonts w:ascii="Arial" w:hAnsi="Arial" w:hint="eastAsia"/>
          <w:sz w:val="28"/>
          <w:szCs w:val="28"/>
        </w:rPr>
        <w:t>2028</w:t>
      </w:r>
      <w:r>
        <w:rPr>
          <w:rFonts w:ascii="Arial" w:hAnsi="Arial" w:hint="eastAsia"/>
          <w:sz w:val="28"/>
          <w:szCs w:val="28"/>
        </w:rPr>
        <w:t>年</w:t>
      </w:r>
      <w:r>
        <w:rPr>
          <w:rFonts w:ascii="Arial" w:hAnsi="Arial" w:hint="eastAsia"/>
          <w:sz w:val="28"/>
          <w:szCs w:val="28"/>
        </w:rPr>
        <w:t>1</w:t>
      </w:r>
      <w:r>
        <w:rPr>
          <w:rFonts w:ascii="Arial" w:hAnsi="Arial" w:hint="eastAsia"/>
          <w:sz w:val="28"/>
          <w:szCs w:val="28"/>
        </w:rPr>
        <w:t>月</w:t>
      </w:r>
      <w:r>
        <w:rPr>
          <w:rFonts w:ascii="Arial" w:hAnsi="Arial" w:hint="eastAsia"/>
          <w:sz w:val="28"/>
          <w:szCs w:val="28"/>
        </w:rPr>
        <w:t>1</w:t>
      </w:r>
      <w:r>
        <w:rPr>
          <w:rFonts w:ascii="Arial" w:hAnsi="Arial" w:hint="eastAsia"/>
          <w:sz w:val="28"/>
          <w:szCs w:val="28"/>
        </w:rPr>
        <w:t>日生效。</w:t>
      </w:r>
    </w:p>
    <w:p w:rsidR="007771A6" w:rsidRDefault="00F130DA">
      <w:pPr>
        <w:autoSpaceDE w:val="0"/>
        <w:autoSpaceDN w:val="0"/>
        <w:adjustRightInd w:val="0"/>
        <w:snapToGrid w:val="0"/>
        <w:spacing w:line="360" w:lineRule="auto"/>
        <w:ind w:firstLineChars="200" w:firstLine="560"/>
        <w:rPr>
          <w:rFonts w:ascii="Arial" w:hAnsi="Arial"/>
          <w:sz w:val="28"/>
          <w:szCs w:val="28"/>
        </w:rPr>
      </w:pPr>
      <w:r>
        <w:rPr>
          <w:rFonts w:ascii="Arial" w:hAnsi="Arial" w:hint="eastAsia"/>
          <w:sz w:val="28"/>
          <w:szCs w:val="28"/>
        </w:rPr>
        <w:t>关于非传统推进器更新声明的极限转向角技术要求，会议认为超出本议题产出范围，需另外单独申请新产出。</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w:t>
      </w:r>
      <w:r>
        <w:rPr>
          <w:rFonts w:ascii="Arial" w:hAnsi="Arial" w:cs="Arial" w:hint="eastAsia"/>
          <w:b/>
          <w:bCs/>
          <w:sz w:val="28"/>
          <w:szCs w:val="28"/>
        </w:rPr>
        <w:t>六</w:t>
      </w:r>
      <w:r>
        <w:rPr>
          <w:rFonts w:ascii="Arial" w:hAnsi="Arial" w:cs="Arial" w:hint="eastAsia"/>
          <w:b/>
          <w:bCs/>
          <w:sz w:val="28"/>
          <w:szCs w:val="28"/>
        </w:rPr>
        <w:t>）修订“登离船设</w:t>
      </w:r>
      <w:r>
        <w:rPr>
          <w:rFonts w:ascii="Arial" w:hAnsi="Arial" w:cs="Arial" w:hint="eastAsia"/>
          <w:b/>
          <w:bCs/>
          <w:sz w:val="28"/>
          <w:szCs w:val="28"/>
        </w:rPr>
        <w:t>施构造、维护和检查</w:t>
      </w:r>
      <w:r>
        <w:rPr>
          <w:rFonts w:ascii="Arial" w:hAnsi="Arial" w:cs="Arial" w:hint="eastAsia"/>
          <w:b/>
          <w:bCs/>
          <w:sz w:val="28"/>
          <w:szCs w:val="28"/>
        </w:rPr>
        <w:t>/</w:t>
      </w:r>
      <w:r>
        <w:rPr>
          <w:rFonts w:ascii="Arial" w:hAnsi="Arial" w:cs="Arial" w:hint="eastAsia"/>
          <w:b/>
          <w:bCs/>
          <w:sz w:val="28"/>
          <w:szCs w:val="28"/>
        </w:rPr>
        <w:t>检验指南”中关于舷梯和跳板梯安全网的安装要求</w:t>
      </w:r>
    </w:p>
    <w:p w:rsidR="007771A6" w:rsidRDefault="00F130DA">
      <w:pPr>
        <w:ind w:firstLineChars="200" w:firstLine="560"/>
        <w:rPr>
          <w:rFonts w:ascii="Arial" w:hAnsi="Arial"/>
          <w:sz w:val="28"/>
          <w:szCs w:val="28"/>
        </w:rPr>
      </w:pPr>
      <w:r>
        <w:rPr>
          <w:rFonts w:ascii="Arial" w:hAnsi="Arial" w:hint="eastAsia"/>
          <w:sz w:val="28"/>
          <w:szCs w:val="28"/>
        </w:rPr>
        <w:t>登离船设施构造、维护和检查</w:t>
      </w:r>
      <w:r>
        <w:rPr>
          <w:rFonts w:ascii="Arial" w:hAnsi="Arial" w:hint="eastAsia"/>
          <w:sz w:val="28"/>
          <w:szCs w:val="28"/>
        </w:rPr>
        <w:t>/</w:t>
      </w:r>
      <w:r>
        <w:rPr>
          <w:rFonts w:ascii="Arial" w:hAnsi="Arial" w:hint="eastAsia"/>
          <w:sz w:val="28"/>
          <w:szCs w:val="28"/>
        </w:rPr>
        <w:t>检验指南（</w:t>
      </w:r>
      <w:r>
        <w:rPr>
          <w:rFonts w:ascii="Arial" w:hAnsi="Arial" w:hint="eastAsia"/>
          <w:sz w:val="28"/>
          <w:szCs w:val="28"/>
        </w:rPr>
        <w:t>MSC.1/Circ.1331</w:t>
      </w:r>
      <w:r>
        <w:rPr>
          <w:rFonts w:ascii="Arial" w:hAnsi="Arial" w:hint="eastAsia"/>
          <w:sz w:val="28"/>
          <w:szCs w:val="28"/>
        </w:rPr>
        <w:t>）实施十多年，业界已经积累了一些经验和应用反馈。为了减缓船员在夜间或恶劣天气情况下安装安全网可能的坠落风险，分委会同意舷梯或跳板梯在安装侧网和采取栏杆保护措施后可不必安装安全网，决定</w:t>
      </w:r>
      <w:r>
        <w:rPr>
          <w:rFonts w:ascii="Arial" w:hAnsi="Arial" w:hint="eastAsia"/>
          <w:sz w:val="28"/>
          <w:szCs w:val="28"/>
        </w:rPr>
        <w:t>2026</w:t>
      </w:r>
      <w:r>
        <w:rPr>
          <w:rFonts w:ascii="Arial" w:hAnsi="Arial" w:hint="eastAsia"/>
          <w:sz w:val="28"/>
          <w:szCs w:val="28"/>
        </w:rPr>
        <w:t>年</w:t>
      </w:r>
      <w:r>
        <w:rPr>
          <w:rFonts w:ascii="Arial" w:hAnsi="Arial" w:hint="eastAsia"/>
          <w:sz w:val="28"/>
          <w:szCs w:val="28"/>
        </w:rPr>
        <w:t>7</w:t>
      </w:r>
      <w:r>
        <w:rPr>
          <w:rFonts w:ascii="Arial" w:hAnsi="Arial" w:hint="eastAsia"/>
          <w:sz w:val="28"/>
          <w:szCs w:val="28"/>
        </w:rPr>
        <w:t>月</w:t>
      </w:r>
      <w:r>
        <w:rPr>
          <w:rFonts w:ascii="Arial" w:hAnsi="Arial" w:hint="eastAsia"/>
          <w:sz w:val="28"/>
          <w:szCs w:val="28"/>
        </w:rPr>
        <w:t>1</w:t>
      </w:r>
      <w:r>
        <w:rPr>
          <w:rFonts w:ascii="Arial" w:hAnsi="Arial" w:hint="eastAsia"/>
          <w:sz w:val="28"/>
          <w:szCs w:val="28"/>
        </w:rPr>
        <w:t>日或以后安装的舷梯</w:t>
      </w:r>
      <w:r>
        <w:rPr>
          <w:rFonts w:ascii="Arial" w:hAnsi="Arial" w:hint="eastAsia"/>
          <w:sz w:val="28"/>
          <w:szCs w:val="28"/>
        </w:rPr>
        <w:t>/</w:t>
      </w:r>
      <w:r>
        <w:rPr>
          <w:rFonts w:ascii="Arial" w:hAnsi="Arial" w:hint="eastAsia"/>
          <w:sz w:val="28"/>
          <w:szCs w:val="28"/>
        </w:rPr>
        <w:t>跳板梯</w:t>
      </w:r>
      <w:r>
        <w:rPr>
          <w:rFonts w:ascii="Arial" w:hAnsi="Arial" w:hint="eastAsia"/>
          <w:sz w:val="28"/>
          <w:szCs w:val="28"/>
        </w:rPr>
        <w:t>/</w:t>
      </w:r>
      <w:r>
        <w:rPr>
          <w:rFonts w:ascii="Arial" w:hAnsi="Arial" w:hint="eastAsia"/>
          <w:sz w:val="28"/>
          <w:szCs w:val="28"/>
        </w:rPr>
        <w:t>起升绞车</w:t>
      </w:r>
      <w:r>
        <w:rPr>
          <w:rFonts w:ascii="Arial" w:hAnsi="Arial" w:hint="eastAsia"/>
          <w:sz w:val="28"/>
          <w:szCs w:val="28"/>
        </w:rPr>
        <w:t>按照新的</w:t>
      </w:r>
      <w:r>
        <w:rPr>
          <w:rFonts w:ascii="Arial" w:hAnsi="Arial" w:hint="eastAsia"/>
          <w:sz w:val="28"/>
          <w:szCs w:val="28"/>
        </w:rPr>
        <w:t>ISO</w:t>
      </w:r>
      <w:r>
        <w:rPr>
          <w:rFonts w:ascii="Arial" w:hAnsi="Arial" w:hint="eastAsia"/>
          <w:sz w:val="28"/>
          <w:szCs w:val="28"/>
        </w:rPr>
        <w:t>标准进行建造</w:t>
      </w:r>
      <w:r>
        <w:rPr>
          <w:rFonts w:ascii="Arial" w:hAnsi="Arial" w:hint="eastAsia"/>
          <w:sz w:val="28"/>
          <w:szCs w:val="28"/>
        </w:rPr>
        <w:t>/</w:t>
      </w:r>
      <w:r>
        <w:rPr>
          <w:rFonts w:ascii="Arial" w:hAnsi="Arial" w:hint="eastAsia"/>
          <w:sz w:val="28"/>
          <w:szCs w:val="28"/>
        </w:rPr>
        <w:t>试验，</w:t>
      </w:r>
      <w:r>
        <w:rPr>
          <w:rFonts w:ascii="Arial" w:hAnsi="Arial" w:hint="eastAsia"/>
          <w:sz w:val="28"/>
          <w:szCs w:val="28"/>
        </w:rPr>
        <w:t>并</w:t>
      </w:r>
      <w:r>
        <w:rPr>
          <w:rFonts w:ascii="Arial" w:hAnsi="Arial" w:hint="eastAsia"/>
          <w:sz w:val="28"/>
          <w:szCs w:val="28"/>
        </w:rPr>
        <w:t>对相关</w:t>
      </w:r>
      <w:r>
        <w:rPr>
          <w:rFonts w:ascii="Arial" w:hAnsi="Arial" w:hint="eastAsia"/>
          <w:sz w:val="28"/>
          <w:szCs w:val="28"/>
        </w:rPr>
        <w:lastRenderedPageBreak/>
        <w:t>设施的试验</w:t>
      </w:r>
      <w:r>
        <w:rPr>
          <w:rFonts w:ascii="Arial" w:hAnsi="Arial" w:hint="eastAsia"/>
          <w:sz w:val="28"/>
          <w:szCs w:val="28"/>
        </w:rPr>
        <w:t>/</w:t>
      </w:r>
      <w:r>
        <w:rPr>
          <w:rFonts w:ascii="Arial" w:hAnsi="Arial" w:hint="eastAsia"/>
          <w:sz w:val="28"/>
          <w:szCs w:val="28"/>
        </w:rPr>
        <w:t>检验载荷进行澄清修订</w:t>
      </w:r>
      <w:r>
        <w:rPr>
          <w:rFonts w:ascii="Arial" w:hAnsi="Arial" w:hint="eastAsia"/>
          <w:sz w:val="28"/>
          <w:szCs w:val="28"/>
        </w:rPr>
        <w:t>，同时新增了船员保护和安全网的维护保养要求</w:t>
      </w:r>
      <w:r>
        <w:rPr>
          <w:rFonts w:ascii="Arial" w:hAnsi="Arial" w:hint="eastAsia"/>
          <w:sz w:val="28"/>
          <w:szCs w:val="28"/>
        </w:rPr>
        <w:t>。因会议时间限制，下届会议</w:t>
      </w:r>
      <w:r>
        <w:rPr>
          <w:rFonts w:ascii="Arial" w:hAnsi="Arial" w:hint="eastAsia"/>
          <w:sz w:val="28"/>
          <w:szCs w:val="28"/>
        </w:rPr>
        <w:t>S</w:t>
      </w:r>
      <w:r>
        <w:rPr>
          <w:rFonts w:ascii="Arial" w:hAnsi="Arial" w:hint="eastAsia"/>
          <w:sz w:val="28"/>
          <w:szCs w:val="28"/>
        </w:rPr>
        <w:t>DC11</w:t>
      </w:r>
      <w:r>
        <w:rPr>
          <w:rFonts w:ascii="Arial" w:hAnsi="Arial" w:hint="eastAsia"/>
          <w:sz w:val="28"/>
          <w:szCs w:val="28"/>
        </w:rPr>
        <w:t>将继续讨论</w:t>
      </w:r>
      <w:r>
        <w:rPr>
          <w:rFonts w:ascii="Arial" w:hAnsi="Arial" w:hint="eastAsia"/>
          <w:sz w:val="28"/>
          <w:szCs w:val="28"/>
        </w:rPr>
        <w:t>新的</w:t>
      </w:r>
      <w:r>
        <w:rPr>
          <w:rFonts w:ascii="Arial" w:hAnsi="Arial" w:hint="eastAsia"/>
          <w:sz w:val="28"/>
          <w:szCs w:val="28"/>
        </w:rPr>
        <w:t>ISO</w:t>
      </w:r>
      <w:r>
        <w:rPr>
          <w:rFonts w:ascii="Arial" w:hAnsi="Arial" w:hint="eastAsia"/>
          <w:sz w:val="28"/>
          <w:szCs w:val="28"/>
        </w:rPr>
        <w:t>标准</w:t>
      </w:r>
      <w:r>
        <w:rPr>
          <w:rFonts w:ascii="Arial" w:hAnsi="Arial" w:hint="eastAsia"/>
          <w:sz w:val="28"/>
          <w:szCs w:val="28"/>
        </w:rPr>
        <w:t>适用问题</w:t>
      </w:r>
      <w:r>
        <w:rPr>
          <w:rFonts w:ascii="Arial" w:hAnsi="Arial" w:hint="eastAsia"/>
          <w:sz w:val="28"/>
          <w:szCs w:val="28"/>
        </w:rPr>
        <w:t>，</w:t>
      </w:r>
      <w:r>
        <w:rPr>
          <w:rFonts w:ascii="Arial" w:hAnsi="Arial" w:hint="eastAsia"/>
          <w:sz w:val="28"/>
          <w:szCs w:val="28"/>
        </w:rPr>
        <w:t>定稿</w:t>
      </w:r>
      <w:r>
        <w:rPr>
          <w:rFonts w:ascii="Arial" w:hAnsi="Arial" w:hint="eastAsia"/>
          <w:sz w:val="28"/>
          <w:szCs w:val="28"/>
        </w:rPr>
        <w:t>后将提交至</w:t>
      </w:r>
      <w:r>
        <w:rPr>
          <w:rFonts w:ascii="Arial" w:hAnsi="Arial" w:hint="eastAsia"/>
          <w:sz w:val="28"/>
          <w:szCs w:val="28"/>
        </w:rPr>
        <w:t>MSC110</w:t>
      </w:r>
      <w:r>
        <w:rPr>
          <w:rFonts w:ascii="Arial" w:hAnsi="Arial" w:hint="eastAsia"/>
          <w:sz w:val="28"/>
          <w:szCs w:val="28"/>
        </w:rPr>
        <w:t>会议批准</w:t>
      </w:r>
      <w:r>
        <w:rPr>
          <w:rFonts w:ascii="Arial" w:hAnsi="Arial" w:hint="eastAsia"/>
          <w:sz w:val="28"/>
          <w:szCs w:val="28"/>
        </w:rPr>
        <w:t>。</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w:t>
      </w:r>
      <w:r>
        <w:rPr>
          <w:rFonts w:ascii="Arial" w:hAnsi="Arial" w:cs="Arial" w:hint="eastAsia"/>
          <w:b/>
          <w:bCs/>
          <w:sz w:val="28"/>
          <w:szCs w:val="28"/>
        </w:rPr>
        <w:t>七</w:t>
      </w:r>
      <w:r>
        <w:rPr>
          <w:rFonts w:ascii="Arial" w:hAnsi="Arial" w:cs="Arial" w:hint="eastAsia"/>
          <w:b/>
          <w:bCs/>
          <w:sz w:val="28"/>
          <w:szCs w:val="28"/>
        </w:rPr>
        <w:t>）</w:t>
      </w:r>
      <w:r>
        <w:rPr>
          <w:rFonts w:ascii="Arial" w:hAnsi="Arial" w:cs="Arial" w:hint="eastAsia"/>
          <w:b/>
          <w:bCs/>
          <w:sz w:val="28"/>
          <w:szCs w:val="28"/>
        </w:rPr>
        <w:t>修订</w:t>
      </w:r>
      <w:r>
        <w:rPr>
          <w:rFonts w:ascii="Arial" w:hAnsi="Arial" w:cs="Arial" w:hint="eastAsia"/>
          <w:b/>
          <w:bCs/>
          <w:sz w:val="28"/>
          <w:szCs w:val="28"/>
        </w:rPr>
        <w:t>《</w:t>
      </w:r>
      <w:r>
        <w:rPr>
          <w:rFonts w:ascii="Arial" w:hAnsi="Arial" w:cs="Arial" w:hint="eastAsia"/>
          <w:b/>
          <w:bCs/>
          <w:sz w:val="28"/>
          <w:szCs w:val="28"/>
        </w:rPr>
        <w:t>1988</w:t>
      </w:r>
      <w:r>
        <w:rPr>
          <w:rFonts w:ascii="Arial" w:hAnsi="Arial" w:cs="Arial" w:hint="eastAsia"/>
          <w:b/>
          <w:bCs/>
          <w:sz w:val="28"/>
          <w:szCs w:val="28"/>
        </w:rPr>
        <w:t>年载重线议定书》第</w:t>
      </w:r>
      <w:r>
        <w:rPr>
          <w:rFonts w:ascii="Arial" w:hAnsi="Arial" w:cs="Arial" w:hint="eastAsia"/>
          <w:b/>
          <w:bCs/>
          <w:sz w:val="28"/>
          <w:szCs w:val="28"/>
        </w:rPr>
        <w:t>25</w:t>
      </w:r>
      <w:r>
        <w:rPr>
          <w:rFonts w:ascii="Arial" w:hAnsi="Arial" w:cs="Arial" w:hint="eastAsia"/>
          <w:b/>
          <w:bCs/>
          <w:sz w:val="28"/>
          <w:szCs w:val="28"/>
        </w:rPr>
        <w:t>条</w:t>
      </w:r>
      <w:r>
        <w:rPr>
          <w:rFonts w:ascii="Arial" w:hAnsi="Arial" w:cs="Arial" w:hint="eastAsia"/>
          <w:b/>
          <w:bCs/>
          <w:sz w:val="28"/>
          <w:szCs w:val="28"/>
        </w:rPr>
        <w:t>船员保护</w:t>
      </w:r>
      <w:r>
        <w:rPr>
          <w:rFonts w:ascii="Arial" w:hAnsi="Arial" w:cs="Arial" w:hint="eastAsia"/>
          <w:b/>
          <w:bCs/>
          <w:sz w:val="28"/>
          <w:szCs w:val="28"/>
        </w:rPr>
        <w:t>栏杆设置要求</w:t>
      </w:r>
    </w:p>
    <w:p w:rsidR="007771A6" w:rsidRDefault="00F130DA">
      <w:pPr>
        <w:ind w:firstLineChars="200" w:firstLine="560"/>
        <w:rPr>
          <w:rFonts w:ascii="Arial" w:hAnsi="Arial"/>
          <w:sz w:val="28"/>
          <w:szCs w:val="28"/>
        </w:rPr>
      </w:pPr>
      <w:r>
        <w:rPr>
          <w:rFonts w:ascii="Arial" w:hAnsi="Arial" w:hint="eastAsia"/>
          <w:sz w:val="28"/>
          <w:szCs w:val="28"/>
        </w:rPr>
        <w:t>考虑到露天甲板上设置两挡栏杆时，存在人员可能跌落的风险，本次会议讨论了《</w:t>
      </w:r>
      <w:r>
        <w:rPr>
          <w:rFonts w:ascii="Arial" w:hAnsi="Arial" w:hint="eastAsia"/>
          <w:sz w:val="28"/>
          <w:szCs w:val="28"/>
        </w:rPr>
        <w:t>1988</w:t>
      </w:r>
      <w:r>
        <w:rPr>
          <w:rFonts w:ascii="Arial" w:hAnsi="Arial" w:hint="eastAsia"/>
          <w:sz w:val="28"/>
          <w:szCs w:val="28"/>
        </w:rPr>
        <w:t>年载重线议定书》附录</w:t>
      </w:r>
      <w:r>
        <w:rPr>
          <w:rFonts w:ascii="Arial" w:hAnsi="Arial" w:hint="eastAsia"/>
          <w:sz w:val="28"/>
          <w:szCs w:val="28"/>
        </w:rPr>
        <w:t>B</w:t>
      </w:r>
      <w:r>
        <w:rPr>
          <w:rFonts w:ascii="Arial" w:hAnsi="Arial" w:hint="eastAsia"/>
          <w:sz w:val="28"/>
          <w:szCs w:val="28"/>
        </w:rPr>
        <w:t>附则</w:t>
      </w:r>
      <w:r>
        <w:rPr>
          <w:rFonts w:ascii="Arial" w:hAnsi="Arial" w:hint="eastAsia"/>
          <w:sz w:val="28"/>
          <w:szCs w:val="28"/>
        </w:rPr>
        <w:t>1</w:t>
      </w:r>
      <w:r>
        <w:rPr>
          <w:rFonts w:ascii="Arial" w:hAnsi="Arial" w:hint="eastAsia"/>
          <w:sz w:val="28"/>
          <w:szCs w:val="28"/>
        </w:rPr>
        <w:t>第</w:t>
      </w:r>
      <w:r>
        <w:rPr>
          <w:rFonts w:ascii="Arial" w:hAnsi="Arial" w:hint="eastAsia"/>
          <w:sz w:val="28"/>
          <w:szCs w:val="28"/>
        </w:rPr>
        <w:t>25</w:t>
      </w:r>
      <w:r>
        <w:rPr>
          <w:rFonts w:ascii="Arial" w:hAnsi="Arial" w:hint="eastAsia"/>
          <w:sz w:val="28"/>
          <w:szCs w:val="28"/>
        </w:rPr>
        <w:t>条</w:t>
      </w:r>
      <w:r>
        <w:rPr>
          <w:rFonts w:ascii="Arial" w:hAnsi="Arial" w:hint="eastAsia"/>
          <w:sz w:val="28"/>
          <w:szCs w:val="28"/>
        </w:rPr>
        <w:t>的修正案草案</w:t>
      </w:r>
      <w:r>
        <w:rPr>
          <w:rFonts w:ascii="Arial" w:hAnsi="Arial" w:hint="eastAsia"/>
          <w:sz w:val="28"/>
          <w:szCs w:val="28"/>
        </w:rPr>
        <w:t>，</w:t>
      </w:r>
      <w:r>
        <w:rPr>
          <w:rFonts w:ascii="Arial" w:hAnsi="Arial" w:hint="eastAsia"/>
          <w:sz w:val="28"/>
          <w:szCs w:val="28"/>
        </w:rPr>
        <w:t>修正案预计适用于</w:t>
      </w:r>
      <w:r>
        <w:rPr>
          <w:rFonts w:ascii="Arial" w:hAnsi="Arial" w:hint="eastAsia"/>
          <w:sz w:val="28"/>
          <w:szCs w:val="28"/>
        </w:rPr>
        <w:t>2028</w:t>
      </w:r>
      <w:r>
        <w:rPr>
          <w:rFonts w:ascii="Arial" w:hAnsi="Arial" w:hint="eastAsia"/>
          <w:sz w:val="28"/>
          <w:szCs w:val="28"/>
        </w:rPr>
        <w:t>年</w:t>
      </w:r>
      <w:r>
        <w:rPr>
          <w:rFonts w:ascii="Arial" w:hAnsi="Arial" w:hint="eastAsia"/>
          <w:sz w:val="28"/>
          <w:szCs w:val="28"/>
        </w:rPr>
        <w:t>1</w:t>
      </w:r>
      <w:r>
        <w:rPr>
          <w:rFonts w:ascii="Arial" w:hAnsi="Arial" w:hint="eastAsia"/>
          <w:sz w:val="28"/>
          <w:szCs w:val="28"/>
        </w:rPr>
        <w:t>月</w:t>
      </w:r>
      <w:r>
        <w:rPr>
          <w:rFonts w:ascii="Arial" w:hAnsi="Arial" w:hint="eastAsia"/>
          <w:sz w:val="28"/>
          <w:szCs w:val="28"/>
        </w:rPr>
        <w:t>1</w:t>
      </w:r>
      <w:r>
        <w:rPr>
          <w:rFonts w:ascii="Arial" w:hAnsi="Arial" w:hint="eastAsia"/>
          <w:sz w:val="28"/>
          <w:szCs w:val="28"/>
        </w:rPr>
        <w:t>日或之后建造的</w:t>
      </w:r>
      <w:r>
        <w:rPr>
          <w:rFonts w:ascii="Arial" w:hAnsi="Arial" w:hint="eastAsia"/>
          <w:sz w:val="28"/>
          <w:szCs w:val="28"/>
        </w:rPr>
        <w:t>新船，要求</w:t>
      </w:r>
      <w:r>
        <w:rPr>
          <w:rFonts w:ascii="Arial" w:hAnsi="Arial" w:hint="eastAsia"/>
          <w:sz w:val="28"/>
          <w:szCs w:val="28"/>
        </w:rPr>
        <w:t>所有露天甲板四周以及航行中船员到达的所有露天通海口周围装设的栏杆，应有三挡</w:t>
      </w:r>
      <w:r>
        <w:rPr>
          <w:rFonts w:ascii="Arial" w:hAnsi="Arial" w:hint="eastAsia"/>
          <w:sz w:val="28"/>
          <w:szCs w:val="28"/>
        </w:rPr>
        <w:t>（间距不小于</w:t>
      </w:r>
      <w:r>
        <w:rPr>
          <w:rFonts w:ascii="Arial" w:hAnsi="Arial" w:hint="eastAsia"/>
          <w:sz w:val="28"/>
          <w:szCs w:val="28"/>
        </w:rPr>
        <w:t>230/380/380mm</w:t>
      </w:r>
      <w:r>
        <w:rPr>
          <w:rFonts w:ascii="Arial" w:hAnsi="Arial" w:hint="eastAsia"/>
          <w:sz w:val="28"/>
          <w:szCs w:val="28"/>
        </w:rPr>
        <w:t>）</w:t>
      </w:r>
      <w:r>
        <w:rPr>
          <w:rFonts w:ascii="Arial" w:hAnsi="Arial" w:hint="eastAsia"/>
          <w:sz w:val="28"/>
          <w:szCs w:val="28"/>
        </w:rPr>
        <w:t>。因本届会议时间有限，下届会议</w:t>
      </w:r>
      <w:r>
        <w:rPr>
          <w:rFonts w:ascii="Arial" w:hAnsi="Arial" w:hint="eastAsia"/>
          <w:sz w:val="28"/>
          <w:szCs w:val="28"/>
        </w:rPr>
        <w:t>SDC11</w:t>
      </w:r>
      <w:r>
        <w:rPr>
          <w:rFonts w:ascii="Arial" w:hAnsi="Arial" w:hint="eastAsia"/>
          <w:sz w:val="28"/>
          <w:szCs w:val="28"/>
        </w:rPr>
        <w:t>将</w:t>
      </w:r>
      <w:r>
        <w:rPr>
          <w:rFonts w:ascii="Arial" w:hAnsi="Arial" w:hint="eastAsia"/>
          <w:sz w:val="28"/>
          <w:szCs w:val="28"/>
        </w:rPr>
        <w:t>继续讨论用</w:t>
      </w:r>
      <w:r>
        <w:rPr>
          <w:rFonts w:ascii="Arial" w:hAnsi="Arial" w:hint="eastAsia"/>
          <w:sz w:val="28"/>
          <w:szCs w:val="28"/>
        </w:rPr>
        <w:t>链索</w:t>
      </w:r>
      <w:r>
        <w:rPr>
          <w:rFonts w:ascii="Arial" w:hAnsi="Arial" w:hint="eastAsia"/>
          <w:sz w:val="28"/>
          <w:szCs w:val="28"/>
        </w:rPr>
        <w:t>替代栏杆时</w:t>
      </w:r>
      <w:r>
        <w:rPr>
          <w:rFonts w:ascii="Arial" w:hAnsi="Arial" w:hint="eastAsia"/>
          <w:sz w:val="28"/>
          <w:szCs w:val="28"/>
        </w:rPr>
        <w:t>链索松弛下垂</w:t>
      </w:r>
      <w:r>
        <w:rPr>
          <w:rFonts w:ascii="Arial" w:hAnsi="Arial" w:hint="eastAsia"/>
          <w:sz w:val="28"/>
          <w:szCs w:val="28"/>
        </w:rPr>
        <w:t>要求，</w:t>
      </w:r>
      <w:r>
        <w:rPr>
          <w:rFonts w:ascii="Arial" w:hAnsi="Arial" w:hint="eastAsia"/>
          <w:sz w:val="28"/>
          <w:szCs w:val="28"/>
        </w:rPr>
        <w:t>以降低链索代替栏杆时松弛下垂过大可能引发的人员跌落风险</w:t>
      </w:r>
      <w:r>
        <w:rPr>
          <w:rFonts w:ascii="Arial" w:hAnsi="Arial" w:hint="eastAsia"/>
          <w:sz w:val="28"/>
          <w:szCs w:val="28"/>
        </w:rPr>
        <w:t>，</w:t>
      </w:r>
      <w:r>
        <w:rPr>
          <w:rFonts w:ascii="Arial" w:hAnsi="Arial" w:hint="eastAsia"/>
          <w:sz w:val="28"/>
          <w:szCs w:val="28"/>
        </w:rPr>
        <w:t>定稿</w:t>
      </w:r>
      <w:r>
        <w:rPr>
          <w:rFonts w:ascii="Arial" w:hAnsi="Arial" w:hint="eastAsia"/>
          <w:sz w:val="28"/>
          <w:szCs w:val="28"/>
        </w:rPr>
        <w:t>后将提交至</w:t>
      </w:r>
      <w:r>
        <w:rPr>
          <w:rFonts w:ascii="Arial" w:hAnsi="Arial" w:hint="eastAsia"/>
          <w:sz w:val="28"/>
          <w:szCs w:val="28"/>
        </w:rPr>
        <w:t>MSC110</w:t>
      </w:r>
      <w:r>
        <w:rPr>
          <w:rFonts w:ascii="Arial" w:hAnsi="Arial" w:hint="eastAsia"/>
          <w:sz w:val="28"/>
          <w:szCs w:val="28"/>
        </w:rPr>
        <w:t>会议批准。</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（八）修订客船安全返港</w:t>
      </w:r>
      <w:r>
        <w:rPr>
          <w:rFonts w:ascii="Arial" w:hAnsi="Arial" w:cs="Arial" w:hint="eastAsia"/>
          <w:b/>
          <w:bCs/>
          <w:sz w:val="28"/>
          <w:szCs w:val="28"/>
        </w:rPr>
        <w:t>相关暂时解释说明及相关通函</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sz w:val="28"/>
          <w:szCs w:val="28"/>
        </w:rPr>
        <w:t>客船</w:t>
      </w:r>
      <w:r>
        <w:rPr>
          <w:rFonts w:ascii="Arial" w:hAnsi="Arial" w:cs="Arial"/>
          <w:sz w:val="28"/>
          <w:szCs w:val="28"/>
        </w:rPr>
        <w:t>“</w:t>
      </w:r>
      <w:r>
        <w:rPr>
          <w:rFonts w:ascii="Arial" w:hAnsi="Arial" w:cs="Arial"/>
          <w:sz w:val="28"/>
          <w:szCs w:val="28"/>
        </w:rPr>
        <w:t>安全返港</w:t>
      </w:r>
      <w:r>
        <w:rPr>
          <w:rFonts w:ascii="Arial" w:hAnsi="Arial" w:cs="Arial"/>
          <w:sz w:val="28"/>
          <w:szCs w:val="28"/>
        </w:rPr>
        <w:t>”</w:t>
      </w:r>
      <w:r>
        <w:rPr>
          <w:rFonts w:ascii="Arial" w:hAnsi="Arial" w:cs="Arial"/>
          <w:sz w:val="28"/>
          <w:szCs w:val="28"/>
        </w:rPr>
        <w:t>的公约要求已经生效十余年，由于是目标型标准，业界在实施安全返港规定方面，存在一些不同的理解</w:t>
      </w:r>
      <w:r>
        <w:rPr>
          <w:rFonts w:ascii="Arial" w:hAnsi="Arial" w:cs="Arial" w:hint="eastAsia"/>
          <w:sz w:val="28"/>
          <w:szCs w:val="28"/>
        </w:rPr>
        <w:t>，</w:t>
      </w:r>
      <w:r>
        <w:rPr>
          <w:rFonts w:ascii="Arial" w:hAnsi="Arial" w:cs="Arial"/>
          <w:sz w:val="28"/>
          <w:szCs w:val="28"/>
        </w:rPr>
        <w:t>需要进行澄清或解释。</w:t>
      </w:r>
      <w:r>
        <w:rPr>
          <w:rFonts w:ascii="Arial" w:hAnsi="Arial" w:cs="Arial" w:hint="eastAsia"/>
          <w:sz w:val="28"/>
          <w:szCs w:val="28"/>
        </w:rPr>
        <w:t>为此，</w:t>
      </w:r>
      <w:r>
        <w:rPr>
          <w:rFonts w:ascii="Arial" w:hAnsi="Arial" w:cs="Arial" w:hint="eastAsia"/>
          <w:sz w:val="28"/>
          <w:szCs w:val="28"/>
        </w:rPr>
        <w:t>IMO</w:t>
      </w:r>
      <w:r>
        <w:rPr>
          <w:rFonts w:ascii="Arial" w:hAnsi="Arial" w:cs="Arial" w:hint="eastAsia"/>
          <w:sz w:val="28"/>
          <w:szCs w:val="28"/>
        </w:rPr>
        <w:t>决定开展相关</w:t>
      </w:r>
      <w:r>
        <w:rPr>
          <w:rFonts w:ascii="Arial" w:hAnsi="Arial" w:cs="Arial" w:hint="eastAsia"/>
          <w:sz w:val="28"/>
          <w:szCs w:val="28"/>
        </w:rPr>
        <w:t>解释说明及相关通函的修订。</w:t>
      </w:r>
      <w:r>
        <w:rPr>
          <w:rFonts w:ascii="Arial" w:hAnsi="Arial" w:cs="Arial" w:hint="eastAsia"/>
          <w:sz w:val="28"/>
          <w:szCs w:val="28"/>
        </w:rPr>
        <w:t>本次会议重点完成了</w:t>
      </w:r>
      <w:r>
        <w:rPr>
          <w:rFonts w:ascii="Arial" w:hAnsi="Arial" w:cs="Arial" w:hint="eastAsia"/>
          <w:sz w:val="28"/>
          <w:szCs w:val="28"/>
        </w:rPr>
        <w:t>MSC.1/Circ.1369</w:t>
      </w:r>
      <w:r>
        <w:rPr>
          <w:rFonts w:ascii="Arial" w:hAnsi="Arial" w:cs="Arial" w:hint="eastAsia"/>
          <w:sz w:val="28"/>
          <w:szCs w:val="28"/>
        </w:rPr>
        <w:t>通函《客船发生火灾或进水事故后系统性能评估的暂行解释性指南》的架构重组，并对</w:t>
      </w:r>
      <w:r>
        <w:rPr>
          <w:rFonts w:ascii="Arial" w:hAnsi="Arial" w:cs="Arial" w:hint="eastAsia"/>
          <w:sz w:val="28"/>
          <w:szCs w:val="28"/>
        </w:rPr>
        <w:t>MSC.1/Circ.1369</w:t>
      </w:r>
      <w:r>
        <w:rPr>
          <w:rFonts w:ascii="Arial" w:hAnsi="Arial" w:cs="Arial" w:hint="eastAsia"/>
          <w:sz w:val="28"/>
          <w:szCs w:val="28"/>
        </w:rPr>
        <w:t>通函进一步讨论。分委会决定成立通信工作组，基于新的架构继续开展相关工作，讨论内容包括与最低航速验证相关的海上环境条件定义、船员熟悉培训和使用替代燃料等事宜，并向</w:t>
      </w:r>
      <w:r>
        <w:rPr>
          <w:rFonts w:ascii="Arial" w:hAnsi="Arial" w:cs="Arial" w:hint="eastAsia"/>
          <w:sz w:val="28"/>
          <w:szCs w:val="28"/>
        </w:rPr>
        <w:t>SDC 11</w:t>
      </w:r>
      <w:r>
        <w:rPr>
          <w:rFonts w:ascii="Arial" w:hAnsi="Arial" w:cs="Arial" w:hint="eastAsia"/>
          <w:sz w:val="28"/>
          <w:szCs w:val="28"/>
        </w:rPr>
        <w:t>提交报告。</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三、其他</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分委会还同意成立通信工作组审议</w:t>
      </w:r>
      <w:r>
        <w:rPr>
          <w:rFonts w:ascii="Arial" w:hAnsi="Arial" w:cs="Arial" w:hint="eastAsia"/>
          <w:sz w:val="28"/>
          <w:szCs w:val="28"/>
        </w:rPr>
        <w:t>MSC.1/Circ.1574</w:t>
      </w:r>
      <w:r>
        <w:rPr>
          <w:rFonts w:ascii="Arial" w:hAnsi="Arial" w:cs="Arial" w:hint="eastAsia"/>
          <w:sz w:val="28"/>
          <w:szCs w:val="28"/>
        </w:rPr>
        <w:t>通函“船舶结构内使用纤维增强塑料（</w:t>
      </w:r>
      <w:r>
        <w:rPr>
          <w:rFonts w:ascii="Arial" w:hAnsi="Arial" w:cs="Arial" w:hint="eastAsia"/>
          <w:sz w:val="28"/>
          <w:szCs w:val="28"/>
        </w:rPr>
        <w:t>FRP</w:t>
      </w:r>
      <w:r>
        <w:rPr>
          <w:rFonts w:ascii="Arial" w:hAnsi="Arial" w:cs="Arial" w:hint="eastAsia"/>
          <w:sz w:val="28"/>
          <w:szCs w:val="28"/>
        </w:rPr>
        <w:t>）单元构件的暂行指南”。</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本次会议同意的统一解释包括船上噪声级规</w:t>
      </w:r>
      <w:r>
        <w:rPr>
          <w:rFonts w:ascii="Arial" w:hAnsi="Arial" w:cs="Arial" w:hint="eastAsia"/>
          <w:sz w:val="28"/>
          <w:szCs w:val="28"/>
        </w:rPr>
        <w:t>则声级计校准统一解释、</w:t>
      </w:r>
      <w:r>
        <w:rPr>
          <w:rFonts w:ascii="Arial" w:hAnsi="Arial" w:cs="Arial" w:hint="eastAsia"/>
          <w:sz w:val="28"/>
          <w:szCs w:val="28"/>
        </w:rPr>
        <w:lastRenderedPageBreak/>
        <w:t>对</w:t>
      </w:r>
      <w:r>
        <w:rPr>
          <w:rFonts w:ascii="Arial" w:hAnsi="Arial" w:cs="Arial" w:hint="eastAsia"/>
          <w:sz w:val="28"/>
          <w:szCs w:val="28"/>
        </w:rPr>
        <w:t>MSC.1/Circ.1572/Rev.1</w:t>
      </w:r>
      <w:r>
        <w:rPr>
          <w:rFonts w:ascii="Arial" w:hAnsi="Arial" w:cs="Arial" w:hint="eastAsia"/>
          <w:sz w:val="28"/>
          <w:szCs w:val="28"/>
        </w:rPr>
        <w:t>有关检验通道</w:t>
      </w:r>
      <w:r>
        <w:rPr>
          <w:rFonts w:ascii="Arial" w:hAnsi="Arial" w:cs="Arial" w:hint="eastAsia"/>
          <w:sz w:val="28"/>
          <w:szCs w:val="28"/>
        </w:rPr>
        <w:t>/</w:t>
      </w:r>
      <w:r>
        <w:rPr>
          <w:rFonts w:ascii="Arial" w:hAnsi="Arial" w:cs="Arial" w:hint="eastAsia"/>
          <w:sz w:val="28"/>
          <w:szCs w:val="28"/>
        </w:rPr>
        <w:t>水位探测器等统一解释的修订、工业人员安全证书与</w:t>
      </w:r>
      <w:r>
        <w:rPr>
          <w:rFonts w:ascii="Arial" w:hAnsi="Arial" w:cs="Arial" w:hint="eastAsia"/>
          <w:sz w:val="28"/>
          <w:szCs w:val="28"/>
        </w:rPr>
        <w:t>SOLAS</w:t>
      </w:r>
      <w:r>
        <w:rPr>
          <w:rFonts w:ascii="Arial" w:hAnsi="Arial" w:cs="Arial" w:hint="eastAsia"/>
          <w:sz w:val="28"/>
          <w:szCs w:val="28"/>
        </w:rPr>
        <w:t>安全证书协调的统一解释、以及船舶脱险通道中的“安全位置”统一解释的修订，这些统一解释将提交至</w:t>
      </w:r>
      <w:r>
        <w:rPr>
          <w:rFonts w:ascii="Arial" w:hAnsi="Arial" w:cs="Arial" w:hint="eastAsia"/>
          <w:sz w:val="28"/>
          <w:szCs w:val="28"/>
        </w:rPr>
        <w:t>MSC108</w:t>
      </w:r>
      <w:r>
        <w:rPr>
          <w:rFonts w:ascii="Arial" w:hAnsi="Arial" w:cs="Arial" w:hint="eastAsia"/>
          <w:sz w:val="28"/>
          <w:szCs w:val="28"/>
        </w:rPr>
        <w:t>会议批准。</w:t>
      </w:r>
    </w:p>
    <w:p w:rsidR="007771A6" w:rsidRDefault="00F130DA">
      <w:pPr>
        <w:autoSpaceDE w:val="0"/>
        <w:autoSpaceDN w:val="0"/>
        <w:adjustRightInd w:val="0"/>
        <w:snapToGrid w:val="0"/>
        <w:spacing w:line="360" w:lineRule="auto"/>
        <w:ind w:firstLineChars="200" w:firstLine="562"/>
        <w:rPr>
          <w:rFonts w:ascii="Arial" w:hAnsi="Arial" w:cs="Arial"/>
          <w:b/>
          <w:bCs/>
          <w:sz w:val="28"/>
          <w:szCs w:val="28"/>
        </w:rPr>
      </w:pPr>
      <w:r>
        <w:rPr>
          <w:rFonts w:ascii="Arial" w:hAnsi="Arial" w:cs="Arial" w:hint="eastAsia"/>
          <w:b/>
          <w:bCs/>
          <w:sz w:val="28"/>
          <w:szCs w:val="28"/>
        </w:rPr>
        <w:t>四、提醒业界注意事项</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（一）尽管经修订的《降低商业航运水下噪声解决对海洋生物不利影响指南》（</w:t>
      </w:r>
      <w:r>
        <w:rPr>
          <w:rFonts w:ascii="Arial" w:hAnsi="Arial" w:hint="eastAsia"/>
          <w:sz w:val="28"/>
          <w:szCs w:val="28"/>
        </w:rPr>
        <w:t>MEPC.1/Circ.906/Rev.1</w:t>
      </w:r>
      <w:r>
        <w:rPr>
          <w:rFonts w:ascii="Arial" w:hAnsi="Arial" w:cs="Arial" w:hint="eastAsia"/>
          <w:sz w:val="28"/>
          <w:szCs w:val="28"/>
        </w:rPr>
        <w:t>）是非强制性文件，但本届会议又制定了行动计划草案以指导</w:t>
      </w:r>
      <w:r>
        <w:rPr>
          <w:rFonts w:ascii="Arial" w:hAnsi="Arial" w:cs="Arial" w:hint="eastAsia"/>
          <w:sz w:val="28"/>
          <w:szCs w:val="28"/>
        </w:rPr>
        <w:t>IMO</w:t>
      </w:r>
      <w:r>
        <w:rPr>
          <w:rFonts w:ascii="Arial" w:hAnsi="Arial" w:cs="Arial" w:hint="eastAsia"/>
          <w:sz w:val="28"/>
          <w:szCs w:val="28"/>
        </w:rPr>
        <w:t>继续开展相关工作，并拟将</w:t>
      </w:r>
      <w:r>
        <w:rPr>
          <w:rFonts w:ascii="Arial" w:hAnsi="Arial" w:hint="eastAsia"/>
          <w:sz w:val="28"/>
          <w:szCs w:val="28"/>
        </w:rPr>
        <w:t>“减少水下辐射噪声的经验积累阶段（</w:t>
      </w:r>
      <w:r>
        <w:rPr>
          <w:rFonts w:ascii="Arial" w:hAnsi="Arial" w:hint="eastAsia"/>
          <w:sz w:val="28"/>
          <w:szCs w:val="28"/>
        </w:rPr>
        <w:t>MEPC.1/Circ.906</w:t>
      </w:r>
      <w:r>
        <w:rPr>
          <w:rFonts w:ascii="Arial" w:hAnsi="Arial" w:hint="eastAsia"/>
          <w:sz w:val="28"/>
          <w:szCs w:val="28"/>
        </w:rPr>
        <w:t>）”</w:t>
      </w:r>
      <w:r>
        <w:rPr>
          <w:rFonts w:ascii="Arial" w:hAnsi="Arial" w:cs="Arial" w:hint="eastAsia"/>
          <w:sz w:val="28"/>
          <w:szCs w:val="28"/>
        </w:rPr>
        <w:t>议题列入</w:t>
      </w:r>
      <w:r>
        <w:rPr>
          <w:rFonts w:ascii="Arial" w:hAnsi="Arial" w:cs="Arial" w:hint="eastAsia"/>
          <w:sz w:val="28"/>
          <w:szCs w:val="28"/>
        </w:rPr>
        <w:t>MEPC82</w:t>
      </w:r>
      <w:bookmarkStart w:id="1" w:name="_GoBack"/>
      <w:bookmarkEnd w:id="1"/>
      <w:r>
        <w:rPr>
          <w:rFonts w:ascii="Arial" w:hAnsi="Arial" w:cs="Arial" w:hint="eastAsia"/>
          <w:sz w:val="28"/>
          <w:szCs w:val="28"/>
        </w:rPr>
        <w:t>临时议程，这一系列的动作表明不排除后续工作中出台水下噪声强制性文件，这将对船舶设计、建造和营运及船用产品产生深远影响。业界需要对此议题高度关注。</w:t>
      </w:r>
    </w:p>
    <w:p w:rsidR="007771A6" w:rsidRDefault="00F130DA">
      <w:pPr>
        <w:autoSpaceDE w:val="0"/>
        <w:autoSpaceDN w:val="0"/>
        <w:adjustRightInd w:val="0"/>
        <w:snapToGrid w:val="0"/>
        <w:spacing w:line="360" w:lineRule="auto"/>
        <w:ind w:firstLineChars="200" w:firstLine="560"/>
        <w:rPr>
          <w:rFonts w:ascii="Arial" w:hAnsi="Arial" w:cs="Arial"/>
          <w:sz w:val="28"/>
          <w:szCs w:val="28"/>
        </w:rPr>
      </w:pPr>
      <w:r>
        <w:rPr>
          <w:rFonts w:ascii="Arial" w:hAnsi="Arial" w:cs="Arial" w:hint="eastAsia"/>
          <w:sz w:val="28"/>
          <w:szCs w:val="28"/>
        </w:rPr>
        <w:t>（二）尽管本届会议对《</w:t>
      </w:r>
      <w:r>
        <w:rPr>
          <w:rFonts w:ascii="Arial" w:hAnsi="Arial" w:hint="eastAsia"/>
          <w:sz w:val="28"/>
          <w:szCs w:val="28"/>
        </w:rPr>
        <w:t>登离船设施构造、维护和检查</w:t>
      </w:r>
      <w:r>
        <w:rPr>
          <w:rFonts w:ascii="Arial" w:hAnsi="Arial" w:hint="eastAsia"/>
          <w:sz w:val="28"/>
          <w:szCs w:val="28"/>
        </w:rPr>
        <w:t>/</w:t>
      </w:r>
      <w:r>
        <w:rPr>
          <w:rFonts w:ascii="Arial" w:hAnsi="Arial" w:hint="eastAsia"/>
          <w:sz w:val="28"/>
          <w:szCs w:val="28"/>
        </w:rPr>
        <w:t>检验指南》（</w:t>
      </w:r>
      <w:r>
        <w:rPr>
          <w:rFonts w:ascii="Arial" w:hAnsi="Arial" w:hint="eastAsia"/>
          <w:sz w:val="28"/>
          <w:szCs w:val="28"/>
        </w:rPr>
        <w:t>MSC.1/Circ.1331</w:t>
      </w:r>
      <w:r>
        <w:rPr>
          <w:rFonts w:ascii="Arial" w:hAnsi="Arial" w:hint="eastAsia"/>
          <w:sz w:val="28"/>
          <w:szCs w:val="28"/>
        </w:rPr>
        <w:t>）未最终定稿，但已经决定</w:t>
      </w:r>
      <w:r>
        <w:rPr>
          <w:rFonts w:ascii="Arial" w:hAnsi="Arial" w:hint="eastAsia"/>
          <w:sz w:val="28"/>
          <w:szCs w:val="28"/>
        </w:rPr>
        <w:t>2026</w:t>
      </w:r>
      <w:r>
        <w:rPr>
          <w:rFonts w:ascii="Arial" w:hAnsi="Arial" w:hint="eastAsia"/>
          <w:sz w:val="28"/>
          <w:szCs w:val="28"/>
        </w:rPr>
        <w:t>年</w:t>
      </w:r>
      <w:r>
        <w:rPr>
          <w:rFonts w:ascii="Arial" w:hAnsi="Arial" w:hint="eastAsia"/>
          <w:sz w:val="28"/>
          <w:szCs w:val="28"/>
        </w:rPr>
        <w:t>7</w:t>
      </w:r>
      <w:r>
        <w:rPr>
          <w:rFonts w:ascii="Arial" w:hAnsi="Arial" w:hint="eastAsia"/>
          <w:sz w:val="28"/>
          <w:szCs w:val="28"/>
        </w:rPr>
        <w:t>月</w:t>
      </w:r>
      <w:r>
        <w:rPr>
          <w:rFonts w:ascii="Arial" w:hAnsi="Arial" w:hint="eastAsia"/>
          <w:sz w:val="28"/>
          <w:szCs w:val="28"/>
        </w:rPr>
        <w:t>1</w:t>
      </w:r>
      <w:r>
        <w:rPr>
          <w:rFonts w:ascii="Arial" w:hAnsi="Arial" w:hint="eastAsia"/>
          <w:sz w:val="28"/>
          <w:szCs w:val="28"/>
        </w:rPr>
        <w:t>日或以后安装的舷梯</w:t>
      </w:r>
      <w:r>
        <w:rPr>
          <w:rFonts w:ascii="Arial" w:hAnsi="Arial" w:hint="eastAsia"/>
          <w:sz w:val="28"/>
          <w:szCs w:val="28"/>
        </w:rPr>
        <w:t>/</w:t>
      </w:r>
      <w:r>
        <w:rPr>
          <w:rFonts w:ascii="Arial" w:hAnsi="Arial" w:hint="eastAsia"/>
          <w:sz w:val="28"/>
          <w:szCs w:val="28"/>
        </w:rPr>
        <w:t>跳板梯</w:t>
      </w:r>
      <w:r>
        <w:rPr>
          <w:rFonts w:ascii="Arial" w:hAnsi="Arial" w:hint="eastAsia"/>
          <w:sz w:val="28"/>
          <w:szCs w:val="28"/>
        </w:rPr>
        <w:t>/</w:t>
      </w:r>
      <w:r>
        <w:rPr>
          <w:rFonts w:ascii="Arial" w:hAnsi="Arial" w:hint="eastAsia"/>
          <w:sz w:val="28"/>
          <w:szCs w:val="28"/>
        </w:rPr>
        <w:t>起升绞车</w:t>
      </w:r>
      <w:r>
        <w:rPr>
          <w:rFonts w:ascii="Arial" w:hAnsi="Arial" w:hint="eastAsia"/>
          <w:sz w:val="28"/>
          <w:szCs w:val="28"/>
        </w:rPr>
        <w:t>按照新的</w:t>
      </w:r>
      <w:r>
        <w:rPr>
          <w:rFonts w:ascii="Arial" w:hAnsi="Arial" w:hint="eastAsia"/>
          <w:sz w:val="28"/>
          <w:szCs w:val="28"/>
        </w:rPr>
        <w:t>ISO</w:t>
      </w:r>
      <w:r>
        <w:rPr>
          <w:rFonts w:ascii="Arial" w:hAnsi="Arial" w:hint="eastAsia"/>
          <w:sz w:val="28"/>
          <w:szCs w:val="28"/>
        </w:rPr>
        <w:t>标准</w:t>
      </w:r>
      <w:r>
        <w:rPr>
          <w:rFonts w:ascii="Arial" w:hAnsi="Arial" w:hint="eastAsia"/>
          <w:sz w:val="28"/>
          <w:szCs w:val="28"/>
        </w:rPr>
        <w:t>（如</w:t>
      </w:r>
      <w:r>
        <w:rPr>
          <w:rFonts w:ascii="Arial" w:hAnsi="Arial" w:hint="eastAsia"/>
          <w:sz w:val="28"/>
          <w:szCs w:val="28"/>
        </w:rPr>
        <w:t>ISO 5488:2015,ISO 7061:2015</w:t>
      </w:r>
      <w:r>
        <w:rPr>
          <w:rFonts w:ascii="Arial" w:hAnsi="Arial" w:hint="eastAsia"/>
          <w:sz w:val="28"/>
          <w:szCs w:val="28"/>
        </w:rPr>
        <w:t>及</w:t>
      </w:r>
      <w:r>
        <w:rPr>
          <w:rFonts w:ascii="Arial" w:hAnsi="Arial" w:hint="eastAsia"/>
          <w:sz w:val="28"/>
          <w:szCs w:val="28"/>
        </w:rPr>
        <w:t>ISO 7364:2016</w:t>
      </w:r>
      <w:r>
        <w:rPr>
          <w:rFonts w:ascii="Arial" w:hAnsi="Arial" w:hint="eastAsia"/>
          <w:sz w:val="28"/>
          <w:szCs w:val="28"/>
        </w:rPr>
        <w:t>）</w:t>
      </w:r>
      <w:r>
        <w:rPr>
          <w:rFonts w:ascii="Arial" w:hAnsi="Arial" w:hint="eastAsia"/>
          <w:sz w:val="28"/>
          <w:szCs w:val="28"/>
        </w:rPr>
        <w:t>进行</w:t>
      </w:r>
      <w:r>
        <w:rPr>
          <w:rFonts w:ascii="Arial" w:hAnsi="Arial" w:hint="eastAsia"/>
          <w:sz w:val="28"/>
          <w:szCs w:val="28"/>
        </w:rPr>
        <w:t>建造</w:t>
      </w:r>
      <w:r>
        <w:rPr>
          <w:rFonts w:ascii="Arial" w:hAnsi="Arial" w:hint="eastAsia"/>
          <w:sz w:val="28"/>
          <w:szCs w:val="28"/>
        </w:rPr>
        <w:t>/</w:t>
      </w:r>
      <w:r>
        <w:rPr>
          <w:rFonts w:ascii="Arial" w:hAnsi="Arial" w:hint="eastAsia"/>
          <w:sz w:val="28"/>
          <w:szCs w:val="28"/>
        </w:rPr>
        <w:t>试验</w:t>
      </w:r>
      <w:r>
        <w:rPr>
          <w:rFonts w:ascii="Arial" w:hAnsi="Arial" w:cs="Arial" w:hint="eastAsia"/>
          <w:sz w:val="28"/>
          <w:szCs w:val="28"/>
        </w:rPr>
        <w:t>。业界需要对此予以关注做好准备。</w:t>
      </w:r>
    </w:p>
    <w:p w:rsidR="007771A6" w:rsidRDefault="007771A6">
      <w:pPr>
        <w:autoSpaceDE w:val="0"/>
        <w:autoSpaceDN w:val="0"/>
        <w:adjustRightInd w:val="0"/>
        <w:snapToGrid w:val="0"/>
        <w:spacing w:line="360" w:lineRule="auto"/>
        <w:ind w:firstLineChars="200" w:firstLine="560"/>
        <w:rPr>
          <w:rFonts w:ascii="Arial" w:hAnsi="Arial" w:cs="Arial"/>
          <w:sz w:val="28"/>
          <w:szCs w:val="28"/>
        </w:rPr>
      </w:pPr>
    </w:p>
    <w:sectPr w:rsidR="007771A6">
      <w:headerReference w:type="even" r:id="rId9"/>
      <w:headerReference w:type="default" r:id="rId10"/>
      <w:footerReference w:type="even" r:id="rId11"/>
      <w:footerReference w:type="default" r:id="rId12"/>
      <w:headerReference w:type="first" r:id="rId13"/>
      <w:pgSz w:w="11906" w:h="16838"/>
      <w:pgMar w:top="1440" w:right="1418"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0DA" w:rsidRDefault="00F130DA">
      <w:r>
        <w:separator/>
      </w:r>
    </w:p>
  </w:endnote>
  <w:endnote w:type="continuationSeparator" w:id="0">
    <w:p w:rsidR="00F130DA" w:rsidRDefault="00F1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6" w:rsidRDefault="00F130DA">
    <w:pPr>
      <w:pStyle w:val="a9"/>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7771A6" w:rsidRDefault="007771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143853"/>
    </w:sdtPr>
    <w:sdtEndPr/>
    <w:sdtContent>
      <w:sdt>
        <w:sdtPr>
          <w:id w:val="-1669238322"/>
        </w:sdtPr>
        <w:sdtEndPr/>
        <w:sdtContent>
          <w:p w:rsidR="007771A6" w:rsidRDefault="00F130DA">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5E364C">
              <w:rPr>
                <w:b/>
                <w:bCs/>
                <w:noProof/>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5E364C">
              <w:rPr>
                <w:b/>
                <w:bCs/>
                <w:noProof/>
              </w:rPr>
              <w:t>6</w:t>
            </w:r>
            <w:r>
              <w:rPr>
                <w:b/>
                <w:bCs/>
                <w:sz w:val="24"/>
                <w:szCs w:val="24"/>
              </w:rPr>
              <w:fldChar w:fldCharType="end"/>
            </w:r>
          </w:p>
        </w:sdtContent>
      </w:sdt>
    </w:sdtContent>
  </w:sdt>
  <w:p w:rsidR="007771A6" w:rsidRDefault="007771A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0DA" w:rsidRDefault="00F130DA">
      <w:r>
        <w:separator/>
      </w:r>
    </w:p>
  </w:footnote>
  <w:footnote w:type="continuationSeparator" w:id="0">
    <w:p w:rsidR="00F130DA" w:rsidRDefault="00F13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6" w:rsidRDefault="00F130DA">
    <w:pPr>
      <w:pStyle w:val="a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52048" o:spid="_x0000_s2051" type="#_x0000_t136" style="position:absolute;left:0;text-align:left;margin-left:0;margin-top:0;width:383.6pt;height:255.75pt;rotation:315;z-index:-251656192;mso-position-horizontal:center;mso-position-horizontal-relative:margin;mso-position-vertical:center;mso-position-vertical-relative:margin;mso-width-relative:page;mso-height-relative:page" o:allowincell="f" fillcolor="silver" stroked="f">
          <v:fill opacity=".5"/>
          <v:textpath style="font-family:&quot;宋体&quot;;font-size:1pt" trim="t" fitpath="t" string="CC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6" w:rsidRDefault="00F130DA">
    <w:pPr>
      <w:pStyle w:val="a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52049" o:spid="_x0000_s2050" type="#_x0000_t136" style="position:absolute;left:0;text-align:left;margin-left:0;margin-top:0;width:383.6pt;height:255.75pt;rotation:315;z-index:-251655168;mso-position-horizontal:center;mso-position-horizontal-relative:margin;mso-position-vertical:center;mso-position-vertical-relative:margin;mso-width-relative:page;mso-height-relative:page" o:allowincell="f" fillcolor="silver" stroked="f">
          <v:fill opacity=".5"/>
          <v:textpath style="font-family:&quot;宋体&quot;;font-size:1pt" trim="t" fitpath="t" string="CC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1A6" w:rsidRDefault="00F130DA">
    <w:pPr>
      <w:pStyle w:val="a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52047" o:spid="_x0000_s2049" type="#_x0000_t136" style="position:absolute;left:0;text-align:left;margin-left:0;margin-top:0;width:383.6pt;height:255.75pt;rotation:315;z-index:-251657216;mso-position-horizontal:center;mso-position-horizontal-relative:margin;mso-position-vertical:center;mso-position-vertical-relative:margin;mso-width-relative:page;mso-height-relative:page" o:allowincell="f" fillcolor="silver" stroked="f">
          <v:fill opacity=".5"/>
          <v:textpath style="font-family:&quot;宋体&quot;;font-size:1pt" trim="t" fitpath="t" string="CC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1ZmRlYTRkZTcwYjU3ZDMwY2ZhNDY2ODE3YjAxNTMifQ=="/>
    <w:docVar w:name="KSO_WPS_MARK_KEY" w:val="81bfff36-540d-49a4-84d9-27f9e3b71cb6"/>
  </w:docVars>
  <w:rsids>
    <w:rsidRoot w:val="00172A27"/>
    <w:rsid w:val="000002FE"/>
    <w:rsid w:val="00000E86"/>
    <w:rsid w:val="00002AE0"/>
    <w:rsid w:val="000031B1"/>
    <w:rsid w:val="00003595"/>
    <w:rsid w:val="0000622B"/>
    <w:rsid w:val="00006E77"/>
    <w:rsid w:val="000078AE"/>
    <w:rsid w:val="000104A2"/>
    <w:rsid w:val="000112CF"/>
    <w:rsid w:val="0001381F"/>
    <w:rsid w:val="00014A6D"/>
    <w:rsid w:val="0001760F"/>
    <w:rsid w:val="0002017D"/>
    <w:rsid w:val="00021BE4"/>
    <w:rsid w:val="000225B2"/>
    <w:rsid w:val="00022A80"/>
    <w:rsid w:val="00023168"/>
    <w:rsid w:val="000242EA"/>
    <w:rsid w:val="000243D5"/>
    <w:rsid w:val="0002700A"/>
    <w:rsid w:val="000276F3"/>
    <w:rsid w:val="000300DF"/>
    <w:rsid w:val="00036C1C"/>
    <w:rsid w:val="0003747E"/>
    <w:rsid w:val="00037CAF"/>
    <w:rsid w:val="00040001"/>
    <w:rsid w:val="000414EA"/>
    <w:rsid w:val="00043933"/>
    <w:rsid w:val="00044692"/>
    <w:rsid w:val="00045D07"/>
    <w:rsid w:val="0004652D"/>
    <w:rsid w:val="000500AF"/>
    <w:rsid w:val="0005032D"/>
    <w:rsid w:val="0005050D"/>
    <w:rsid w:val="0005169A"/>
    <w:rsid w:val="00052115"/>
    <w:rsid w:val="00052DF1"/>
    <w:rsid w:val="00053D36"/>
    <w:rsid w:val="000562D2"/>
    <w:rsid w:val="0005754D"/>
    <w:rsid w:val="0006041B"/>
    <w:rsid w:val="00060C4B"/>
    <w:rsid w:val="00061463"/>
    <w:rsid w:val="00061964"/>
    <w:rsid w:val="00063371"/>
    <w:rsid w:val="00063EDC"/>
    <w:rsid w:val="00064B3D"/>
    <w:rsid w:val="00064BDA"/>
    <w:rsid w:val="00064E60"/>
    <w:rsid w:val="00065507"/>
    <w:rsid w:val="00070390"/>
    <w:rsid w:val="00070F49"/>
    <w:rsid w:val="0007154C"/>
    <w:rsid w:val="00071C50"/>
    <w:rsid w:val="0007294E"/>
    <w:rsid w:val="00072B5F"/>
    <w:rsid w:val="00073147"/>
    <w:rsid w:val="00073862"/>
    <w:rsid w:val="00073C32"/>
    <w:rsid w:val="000741AC"/>
    <w:rsid w:val="000753C6"/>
    <w:rsid w:val="00075C2B"/>
    <w:rsid w:val="000762C7"/>
    <w:rsid w:val="00077287"/>
    <w:rsid w:val="00080B37"/>
    <w:rsid w:val="00082AA1"/>
    <w:rsid w:val="00083AD9"/>
    <w:rsid w:val="00083DD8"/>
    <w:rsid w:val="00084BAD"/>
    <w:rsid w:val="00085F2A"/>
    <w:rsid w:val="00086DCB"/>
    <w:rsid w:val="00087ED1"/>
    <w:rsid w:val="00087F32"/>
    <w:rsid w:val="000902EB"/>
    <w:rsid w:val="00094C43"/>
    <w:rsid w:val="000950AE"/>
    <w:rsid w:val="0009568E"/>
    <w:rsid w:val="0009593D"/>
    <w:rsid w:val="00096400"/>
    <w:rsid w:val="000972BE"/>
    <w:rsid w:val="00097534"/>
    <w:rsid w:val="000A0775"/>
    <w:rsid w:val="000A088B"/>
    <w:rsid w:val="000A1319"/>
    <w:rsid w:val="000A2150"/>
    <w:rsid w:val="000A34CF"/>
    <w:rsid w:val="000A3CD2"/>
    <w:rsid w:val="000A42EC"/>
    <w:rsid w:val="000A57AB"/>
    <w:rsid w:val="000A611A"/>
    <w:rsid w:val="000A6165"/>
    <w:rsid w:val="000A68C8"/>
    <w:rsid w:val="000B01FA"/>
    <w:rsid w:val="000B0D11"/>
    <w:rsid w:val="000B0E20"/>
    <w:rsid w:val="000B404B"/>
    <w:rsid w:val="000B4094"/>
    <w:rsid w:val="000B5B08"/>
    <w:rsid w:val="000B64A3"/>
    <w:rsid w:val="000B6CE4"/>
    <w:rsid w:val="000B717F"/>
    <w:rsid w:val="000C0BA4"/>
    <w:rsid w:val="000C1AF3"/>
    <w:rsid w:val="000C1B26"/>
    <w:rsid w:val="000C79CC"/>
    <w:rsid w:val="000D1480"/>
    <w:rsid w:val="000D173B"/>
    <w:rsid w:val="000D2F52"/>
    <w:rsid w:val="000D4CD0"/>
    <w:rsid w:val="000D4FF1"/>
    <w:rsid w:val="000D50C2"/>
    <w:rsid w:val="000D67F2"/>
    <w:rsid w:val="000E0485"/>
    <w:rsid w:val="000E27AB"/>
    <w:rsid w:val="000E385F"/>
    <w:rsid w:val="000E5C4F"/>
    <w:rsid w:val="000E71F0"/>
    <w:rsid w:val="000E727B"/>
    <w:rsid w:val="000E7D6F"/>
    <w:rsid w:val="000F0CFB"/>
    <w:rsid w:val="000F0DB9"/>
    <w:rsid w:val="000F0FF3"/>
    <w:rsid w:val="000F3FA9"/>
    <w:rsid w:val="000F4685"/>
    <w:rsid w:val="000F5776"/>
    <w:rsid w:val="000F6A9A"/>
    <w:rsid w:val="000F7139"/>
    <w:rsid w:val="000F761E"/>
    <w:rsid w:val="001000AB"/>
    <w:rsid w:val="001005B5"/>
    <w:rsid w:val="001006FB"/>
    <w:rsid w:val="001015A6"/>
    <w:rsid w:val="00102030"/>
    <w:rsid w:val="00102946"/>
    <w:rsid w:val="0010341D"/>
    <w:rsid w:val="00103D67"/>
    <w:rsid w:val="00103DE3"/>
    <w:rsid w:val="00104E3D"/>
    <w:rsid w:val="00105D6E"/>
    <w:rsid w:val="00105E00"/>
    <w:rsid w:val="00106EFD"/>
    <w:rsid w:val="001076DE"/>
    <w:rsid w:val="001079D4"/>
    <w:rsid w:val="001113AB"/>
    <w:rsid w:val="001127C1"/>
    <w:rsid w:val="00112DBB"/>
    <w:rsid w:val="00114BC3"/>
    <w:rsid w:val="0011757C"/>
    <w:rsid w:val="0011776A"/>
    <w:rsid w:val="00117A0E"/>
    <w:rsid w:val="0012036E"/>
    <w:rsid w:val="00121A95"/>
    <w:rsid w:val="0012356D"/>
    <w:rsid w:val="00123CC5"/>
    <w:rsid w:val="00130E2A"/>
    <w:rsid w:val="00130F91"/>
    <w:rsid w:val="0013175C"/>
    <w:rsid w:val="00131EE8"/>
    <w:rsid w:val="00132012"/>
    <w:rsid w:val="00132507"/>
    <w:rsid w:val="00133C40"/>
    <w:rsid w:val="00133DEA"/>
    <w:rsid w:val="001346D7"/>
    <w:rsid w:val="00134F4D"/>
    <w:rsid w:val="00135424"/>
    <w:rsid w:val="001354CE"/>
    <w:rsid w:val="0013668F"/>
    <w:rsid w:val="001447B3"/>
    <w:rsid w:val="0015018A"/>
    <w:rsid w:val="001511EB"/>
    <w:rsid w:val="00152061"/>
    <w:rsid w:val="00152981"/>
    <w:rsid w:val="0015523E"/>
    <w:rsid w:val="001562BE"/>
    <w:rsid w:val="001608F3"/>
    <w:rsid w:val="00161536"/>
    <w:rsid w:val="001629BD"/>
    <w:rsid w:val="00163507"/>
    <w:rsid w:val="00163E96"/>
    <w:rsid w:val="00164BD9"/>
    <w:rsid w:val="00164DF5"/>
    <w:rsid w:val="0016558F"/>
    <w:rsid w:val="00165972"/>
    <w:rsid w:val="001663D8"/>
    <w:rsid w:val="001664DC"/>
    <w:rsid w:val="00166632"/>
    <w:rsid w:val="0017151D"/>
    <w:rsid w:val="00172A27"/>
    <w:rsid w:val="00172FA4"/>
    <w:rsid w:val="001744A4"/>
    <w:rsid w:val="00175A9D"/>
    <w:rsid w:val="00175C6C"/>
    <w:rsid w:val="00176C36"/>
    <w:rsid w:val="00180776"/>
    <w:rsid w:val="00184638"/>
    <w:rsid w:val="00186AB8"/>
    <w:rsid w:val="00186DAE"/>
    <w:rsid w:val="00192C18"/>
    <w:rsid w:val="00193D12"/>
    <w:rsid w:val="00194465"/>
    <w:rsid w:val="00194D51"/>
    <w:rsid w:val="00195DC3"/>
    <w:rsid w:val="00196CDF"/>
    <w:rsid w:val="00197074"/>
    <w:rsid w:val="00197B4B"/>
    <w:rsid w:val="001A04C7"/>
    <w:rsid w:val="001A1ABA"/>
    <w:rsid w:val="001A241E"/>
    <w:rsid w:val="001A3315"/>
    <w:rsid w:val="001A5B5C"/>
    <w:rsid w:val="001A5F82"/>
    <w:rsid w:val="001A6B55"/>
    <w:rsid w:val="001A7B53"/>
    <w:rsid w:val="001B415E"/>
    <w:rsid w:val="001B5744"/>
    <w:rsid w:val="001B5C11"/>
    <w:rsid w:val="001B6CE6"/>
    <w:rsid w:val="001B7075"/>
    <w:rsid w:val="001B7510"/>
    <w:rsid w:val="001B7720"/>
    <w:rsid w:val="001C143E"/>
    <w:rsid w:val="001C20F8"/>
    <w:rsid w:val="001C3362"/>
    <w:rsid w:val="001C359E"/>
    <w:rsid w:val="001C5C2A"/>
    <w:rsid w:val="001C725D"/>
    <w:rsid w:val="001D283E"/>
    <w:rsid w:val="001D5731"/>
    <w:rsid w:val="001D59A4"/>
    <w:rsid w:val="001D729E"/>
    <w:rsid w:val="001E031F"/>
    <w:rsid w:val="001E1CE8"/>
    <w:rsid w:val="001E1DD2"/>
    <w:rsid w:val="001E2FD8"/>
    <w:rsid w:val="001E3EC0"/>
    <w:rsid w:val="001E4549"/>
    <w:rsid w:val="001E4A20"/>
    <w:rsid w:val="001E5540"/>
    <w:rsid w:val="001E6015"/>
    <w:rsid w:val="001E63E1"/>
    <w:rsid w:val="001E66A7"/>
    <w:rsid w:val="001E6A26"/>
    <w:rsid w:val="001F01A0"/>
    <w:rsid w:val="001F2DC8"/>
    <w:rsid w:val="001F3095"/>
    <w:rsid w:val="001F4D41"/>
    <w:rsid w:val="001F5190"/>
    <w:rsid w:val="001F5F85"/>
    <w:rsid w:val="001F6174"/>
    <w:rsid w:val="001F6294"/>
    <w:rsid w:val="002014BE"/>
    <w:rsid w:val="00204C97"/>
    <w:rsid w:val="002057D4"/>
    <w:rsid w:val="002059BE"/>
    <w:rsid w:val="00205D55"/>
    <w:rsid w:val="00210FD8"/>
    <w:rsid w:val="00212B1C"/>
    <w:rsid w:val="002149FE"/>
    <w:rsid w:val="00214B02"/>
    <w:rsid w:val="00216723"/>
    <w:rsid w:val="00217896"/>
    <w:rsid w:val="002226EA"/>
    <w:rsid w:val="00223106"/>
    <w:rsid w:val="00223131"/>
    <w:rsid w:val="00223FE3"/>
    <w:rsid w:val="00224C50"/>
    <w:rsid w:val="002267A7"/>
    <w:rsid w:val="002272B4"/>
    <w:rsid w:val="00232E42"/>
    <w:rsid w:val="00234171"/>
    <w:rsid w:val="00234344"/>
    <w:rsid w:val="00236994"/>
    <w:rsid w:val="002405C4"/>
    <w:rsid w:val="0024148D"/>
    <w:rsid w:val="00242D2C"/>
    <w:rsid w:val="00243126"/>
    <w:rsid w:val="0024363B"/>
    <w:rsid w:val="00244B9A"/>
    <w:rsid w:val="00244D88"/>
    <w:rsid w:val="00245969"/>
    <w:rsid w:val="002464B8"/>
    <w:rsid w:val="00246F63"/>
    <w:rsid w:val="0024769E"/>
    <w:rsid w:val="0024793F"/>
    <w:rsid w:val="002533D6"/>
    <w:rsid w:val="0025341C"/>
    <w:rsid w:val="002545DF"/>
    <w:rsid w:val="002551A3"/>
    <w:rsid w:val="00255CBA"/>
    <w:rsid w:val="00256CFD"/>
    <w:rsid w:val="002570A0"/>
    <w:rsid w:val="00261551"/>
    <w:rsid w:val="00262ECA"/>
    <w:rsid w:val="00262ED9"/>
    <w:rsid w:val="002638CA"/>
    <w:rsid w:val="00263D54"/>
    <w:rsid w:val="00264C45"/>
    <w:rsid w:val="002658C0"/>
    <w:rsid w:val="0026754E"/>
    <w:rsid w:val="002708C0"/>
    <w:rsid w:val="00270DD4"/>
    <w:rsid w:val="00270EE1"/>
    <w:rsid w:val="002710B7"/>
    <w:rsid w:val="00271293"/>
    <w:rsid w:val="00271B40"/>
    <w:rsid w:val="002755F7"/>
    <w:rsid w:val="00276293"/>
    <w:rsid w:val="0027635B"/>
    <w:rsid w:val="0027711A"/>
    <w:rsid w:val="002773E1"/>
    <w:rsid w:val="00281B71"/>
    <w:rsid w:val="002837A7"/>
    <w:rsid w:val="002839E3"/>
    <w:rsid w:val="00284423"/>
    <w:rsid w:val="00284BE1"/>
    <w:rsid w:val="0028600C"/>
    <w:rsid w:val="00286207"/>
    <w:rsid w:val="00286BFF"/>
    <w:rsid w:val="00286CB1"/>
    <w:rsid w:val="00287C82"/>
    <w:rsid w:val="002900CC"/>
    <w:rsid w:val="0029027A"/>
    <w:rsid w:val="00290625"/>
    <w:rsid w:val="00291256"/>
    <w:rsid w:val="00292762"/>
    <w:rsid w:val="002927FE"/>
    <w:rsid w:val="00292C9E"/>
    <w:rsid w:val="00294C3C"/>
    <w:rsid w:val="002962A5"/>
    <w:rsid w:val="0029748A"/>
    <w:rsid w:val="002978A6"/>
    <w:rsid w:val="002A094B"/>
    <w:rsid w:val="002A35FC"/>
    <w:rsid w:val="002A47A7"/>
    <w:rsid w:val="002A68E2"/>
    <w:rsid w:val="002A7B2A"/>
    <w:rsid w:val="002B1458"/>
    <w:rsid w:val="002B192E"/>
    <w:rsid w:val="002B206E"/>
    <w:rsid w:val="002B241E"/>
    <w:rsid w:val="002B437F"/>
    <w:rsid w:val="002B46E3"/>
    <w:rsid w:val="002B4DE8"/>
    <w:rsid w:val="002B5C8D"/>
    <w:rsid w:val="002B5D3F"/>
    <w:rsid w:val="002B6DFD"/>
    <w:rsid w:val="002B797B"/>
    <w:rsid w:val="002C19B1"/>
    <w:rsid w:val="002C2145"/>
    <w:rsid w:val="002C2742"/>
    <w:rsid w:val="002C52F8"/>
    <w:rsid w:val="002C58F7"/>
    <w:rsid w:val="002C6B99"/>
    <w:rsid w:val="002D0196"/>
    <w:rsid w:val="002D0CC3"/>
    <w:rsid w:val="002D0F3A"/>
    <w:rsid w:val="002D2E41"/>
    <w:rsid w:val="002D3088"/>
    <w:rsid w:val="002D3671"/>
    <w:rsid w:val="002D3955"/>
    <w:rsid w:val="002D4223"/>
    <w:rsid w:val="002D58B8"/>
    <w:rsid w:val="002D686E"/>
    <w:rsid w:val="002D7BC9"/>
    <w:rsid w:val="002E0B94"/>
    <w:rsid w:val="002E0D01"/>
    <w:rsid w:val="002E0DBC"/>
    <w:rsid w:val="002E209E"/>
    <w:rsid w:val="002E4A9A"/>
    <w:rsid w:val="002E5F5F"/>
    <w:rsid w:val="002F353C"/>
    <w:rsid w:val="002F37BE"/>
    <w:rsid w:val="002F5B78"/>
    <w:rsid w:val="00302303"/>
    <w:rsid w:val="00303429"/>
    <w:rsid w:val="00303709"/>
    <w:rsid w:val="003038CE"/>
    <w:rsid w:val="00304B43"/>
    <w:rsid w:val="003069EF"/>
    <w:rsid w:val="00306C81"/>
    <w:rsid w:val="003100AF"/>
    <w:rsid w:val="00310F9A"/>
    <w:rsid w:val="00311D5E"/>
    <w:rsid w:val="00312262"/>
    <w:rsid w:val="00312799"/>
    <w:rsid w:val="00312F46"/>
    <w:rsid w:val="003130CC"/>
    <w:rsid w:val="0031382A"/>
    <w:rsid w:val="003173F2"/>
    <w:rsid w:val="00317820"/>
    <w:rsid w:val="00317841"/>
    <w:rsid w:val="00325599"/>
    <w:rsid w:val="003257A6"/>
    <w:rsid w:val="00325C80"/>
    <w:rsid w:val="00325D7F"/>
    <w:rsid w:val="0032602B"/>
    <w:rsid w:val="00327A40"/>
    <w:rsid w:val="00330BAE"/>
    <w:rsid w:val="00330EC7"/>
    <w:rsid w:val="00330FA6"/>
    <w:rsid w:val="0033252D"/>
    <w:rsid w:val="00335DF9"/>
    <w:rsid w:val="00337F62"/>
    <w:rsid w:val="00342068"/>
    <w:rsid w:val="00343223"/>
    <w:rsid w:val="00343559"/>
    <w:rsid w:val="0034684C"/>
    <w:rsid w:val="00347663"/>
    <w:rsid w:val="00347D5D"/>
    <w:rsid w:val="00350018"/>
    <w:rsid w:val="00352232"/>
    <w:rsid w:val="003523B1"/>
    <w:rsid w:val="00352CD0"/>
    <w:rsid w:val="003538F5"/>
    <w:rsid w:val="003557B5"/>
    <w:rsid w:val="003559F6"/>
    <w:rsid w:val="00355BFB"/>
    <w:rsid w:val="003569FD"/>
    <w:rsid w:val="00356D43"/>
    <w:rsid w:val="0035716B"/>
    <w:rsid w:val="00361F5D"/>
    <w:rsid w:val="003644DD"/>
    <w:rsid w:val="00364680"/>
    <w:rsid w:val="003661FA"/>
    <w:rsid w:val="00366E6C"/>
    <w:rsid w:val="0037291F"/>
    <w:rsid w:val="00375583"/>
    <w:rsid w:val="00375851"/>
    <w:rsid w:val="003762E6"/>
    <w:rsid w:val="00377D02"/>
    <w:rsid w:val="0038133F"/>
    <w:rsid w:val="00381CF2"/>
    <w:rsid w:val="00382E7C"/>
    <w:rsid w:val="00384D35"/>
    <w:rsid w:val="00385FBD"/>
    <w:rsid w:val="00391FF2"/>
    <w:rsid w:val="00393343"/>
    <w:rsid w:val="00393A76"/>
    <w:rsid w:val="003944FE"/>
    <w:rsid w:val="0039537E"/>
    <w:rsid w:val="003A048E"/>
    <w:rsid w:val="003A1A92"/>
    <w:rsid w:val="003A41CB"/>
    <w:rsid w:val="003A45EC"/>
    <w:rsid w:val="003A4ED5"/>
    <w:rsid w:val="003A6FD6"/>
    <w:rsid w:val="003B04EA"/>
    <w:rsid w:val="003B055C"/>
    <w:rsid w:val="003B05AB"/>
    <w:rsid w:val="003B1521"/>
    <w:rsid w:val="003B3B3F"/>
    <w:rsid w:val="003B3D94"/>
    <w:rsid w:val="003B656E"/>
    <w:rsid w:val="003B73F3"/>
    <w:rsid w:val="003C15FD"/>
    <w:rsid w:val="003C1DA9"/>
    <w:rsid w:val="003C2221"/>
    <w:rsid w:val="003C4B34"/>
    <w:rsid w:val="003C4F46"/>
    <w:rsid w:val="003C5382"/>
    <w:rsid w:val="003C5E98"/>
    <w:rsid w:val="003C609B"/>
    <w:rsid w:val="003C62FE"/>
    <w:rsid w:val="003C73D0"/>
    <w:rsid w:val="003C7FD2"/>
    <w:rsid w:val="003D080D"/>
    <w:rsid w:val="003D1198"/>
    <w:rsid w:val="003D1897"/>
    <w:rsid w:val="003D1F0D"/>
    <w:rsid w:val="003D2E42"/>
    <w:rsid w:val="003D39F7"/>
    <w:rsid w:val="003D3F29"/>
    <w:rsid w:val="003D445C"/>
    <w:rsid w:val="003D45FE"/>
    <w:rsid w:val="003D5481"/>
    <w:rsid w:val="003D6A8E"/>
    <w:rsid w:val="003D73EC"/>
    <w:rsid w:val="003E1DA2"/>
    <w:rsid w:val="003E2A10"/>
    <w:rsid w:val="003E44FD"/>
    <w:rsid w:val="003E618D"/>
    <w:rsid w:val="003E7CF7"/>
    <w:rsid w:val="003E7E6F"/>
    <w:rsid w:val="003F0764"/>
    <w:rsid w:val="003F092E"/>
    <w:rsid w:val="003F09EC"/>
    <w:rsid w:val="003F1207"/>
    <w:rsid w:val="003F1D99"/>
    <w:rsid w:val="003F2973"/>
    <w:rsid w:val="003F2F75"/>
    <w:rsid w:val="004009E7"/>
    <w:rsid w:val="0040123E"/>
    <w:rsid w:val="00402628"/>
    <w:rsid w:val="00403242"/>
    <w:rsid w:val="00403D74"/>
    <w:rsid w:val="0040451A"/>
    <w:rsid w:val="00404E18"/>
    <w:rsid w:val="0040572E"/>
    <w:rsid w:val="004063F0"/>
    <w:rsid w:val="00407010"/>
    <w:rsid w:val="004104C5"/>
    <w:rsid w:val="0041062F"/>
    <w:rsid w:val="00410817"/>
    <w:rsid w:val="00412641"/>
    <w:rsid w:val="004130F1"/>
    <w:rsid w:val="00413BE2"/>
    <w:rsid w:val="00414CB9"/>
    <w:rsid w:val="00414F78"/>
    <w:rsid w:val="00415D78"/>
    <w:rsid w:val="0041632A"/>
    <w:rsid w:val="00416DE3"/>
    <w:rsid w:val="0041796E"/>
    <w:rsid w:val="004203EB"/>
    <w:rsid w:val="00420905"/>
    <w:rsid w:val="00420991"/>
    <w:rsid w:val="00422781"/>
    <w:rsid w:val="00422937"/>
    <w:rsid w:val="00423417"/>
    <w:rsid w:val="00423C43"/>
    <w:rsid w:val="00423DCD"/>
    <w:rsid w:val="00424EDD"/>
    <w:rsid w:val="00424F96"/>
    <w:rsid w:val="0042665A"/>
    <w:rsid w:val="00430E9E"/>
    <w:rsid w:val="0043154F"/>
    <w:rsid w:val="00431B01"/>
    <w:rsid w:val="004325F3"/>
    <w:rsid w:val="00433156"/>
    <w:rsid w:val="004342CE"/>
    <w:rsid w:val="00435371"/>
    <w:rsid w:val="00435EDB"/>
    <w:rsid w:val="00436B64"/>
    <w:rsid w:val="0044412C"/>
    <w:rsid w:val="00445AD0"/>
    <w:rsid w:val="00446421"/>
    <w:rsid w:val="00447A44"/>
    <w:rsid w:val="00447D8B"/>
    <w:rsid w:val="00450453"/>
    <w:rsid w:val="00450729"/>
    <w:rsid w:val="004509C2"/>
    <w:rsid w:val="00452FDA"/>
    <w:rsid w:val="0045310D"/>
    <w:rsid w:val="00453D26"/>
    <w:rsid w:val="00454005"/>
    <w:rsid w:val="004544C9"/>
    <w:rsid w:val="004547DD"/>
    <w:rsid w:val="00455F7D"/>
    <w:rsid w:val="004574D0"/>
    <w:rsid w:val="004609BA"/>
    <w:rsid w:val="0046306C"/>
    <w:rsid w:val="004633F9"/>
    <w:rsid w:val="00463CD3"/>
    <w:rsid w:val="00464413"/>
    <w:rsid w:val="00465921"/>
    <w:rsid w:val="00470552"/>
    <w:rsid w:val="00473FB4"/>
    <w:rsid w:val="00474BBF"/>
    <w:rsid w:val="004765C9"/>
    <w:rsid w:val="004766D1"/>
    <w:rsid w:val="00481637"/>
    <w:rsid w:val="004816D9"/>
    <w:rsid w:val="004819B1"/>
    <w:rsid w:val="00485132"/>
    <w:rsid w:val="00491255"/>
    <w:rsid w:val="00491DFE"/>
    <w:rsid w:val="00492A5E"/>
    <w:rsid w:val="00494D09"/>
    <w:rsid w:val="00496061"/>
    <w:rsid w:val="004966F3"/>
    <w:rsid w:val="004A31DC"/>
    <w:rsid w:val="004A5D3F"/>
    <w:rsid w:val="004A5DD4"/>
    <w:rsid w:val="004B089B"/>
    <w:rsid w:val="004B08FE"/>
    <w:rsid w:val="004B1FF9"/>
    <w:rsid w:val="004B33EB"/>
    <w:rsid w:val="004B3420"/>
    <w:rsid w:val="004B3A72"/>
    <w:rsid w:val="004B5618"/>
    <w:rsid w:val="004B7B98"/>
    <w:rsid w:val="004B7E1B"/>
    <w:rsid w:val="004C15A3"/>
    <w:rsid w:val="004C208B"/>
    <w:rsid w:val="004C25BB"/>
    <w:rsid w:val="004C4B7E"/>
    <w:rsid w:val="004C67F8"/>
    <w:rsid w:val="004C7BD0"/>
    <w:rsid w:val="004D069A"/>
    <w:rsid w:val="004D1B88"/>
    <w:rsid w:val="004D5100"/>
    <w:rsid w:val="004D5E61"/>
    <w:rsid w:val="004D742D"/>
    <w:rsid w:val="004E3CB1"/>
    <w:rsid w:val="004E4263"/>
    <w:rsid w:val="004E4318"/>
    <w:rsid w:val="004E60D4"/>
    <w:rsid w:val="004E61C8"/>
    <w:rsid w:val="004F0072"/>
    <w:rsid w:val="004F0900"/>
    <w:rsid w:val="004F0F6A"/>
    <w:rsid w:val="004F1286"/>
    <w:rsid w:val="004F1A58"/>
    <w:rsid w:val="004F4D2D"/>
    <w:rsid w:val="004F558B"/>
    <w:rsid w:val="004F7937"/>
    <w:rsid w:val="005014FC"/>
    <w:rsid w:val="00501996"/>
    <w:rsid w:val="00501D90"/>
    <w:rsid w:val="00501FAD"/>
    <w:rsid w:val="005022D4"/>
    <w:rsid w:val="00502473"/>
    <w:rsid w:val="00505831"/>
    <w:rsid w:val="00507524"/>
    <w:rsid w:val="005103DB"/>
    <w:rsid w:val="00512130"/>
    <w:rsid w:val="005125C0"/>
    <w:rsid w:val="005126AC"/>
    <w:rsid w:val="0051484C"/>
    <w:rsid w:val="00514931"/>
    <w:rsid w:val="00515BD0"/>
    <w:rsid w:val="00517EC2"/>
    <w:rsid w:val="00520335"/>
    <w:rsid w:val="00522584"/>
    <w:rsid w:val="00522779"/>
    <w:rsid w:val="005249E4"/>
    <w:rsid w:val="005276B5"/>
    <w:rsid w:val="00532E9C"/>
    <w:rsid w:val="005334A9"/>
    <w:rsid w:val="00533CBA"/>
    <w:rsid w:val="00535580"/>
    <w:rsid w:val="00535F30"/>
    <w:rsid w:val="00536DEB"/>
    <w:rsid w:val="00537AA4"/>
    <w:rsid w:val="00540683"/>
    <w:rsid w:val="00540F96"/>
    <w:rsid w:val="00541777"/>
    <w:rsid w:val="00541A03"/>
    <w:rsid w:val="005420EE"/>
    <w:rsid w:val="00542305"/>
    <w:rsid w:val="00542483"/>
    <w:rsid w:val="00542CF7"/>
    <w:rsid w:val="00542DBE"/>
    <w:rsid w:val="00545252"/>
    <w:rsid w:val="00545995"/>
    <w:rsid w:val="005459B9"/>
    <w:rsid w:val="00546F29"/>
    <w:rsid w:val="00547482"/>
    <w:rsid w:val="005474AD"/>
    <w:rsid w:val="00547945"/>
    <w:rsid w:val="00547970"/>
    <w:rsid w:val="00550443"/>
    <w:rsid w:val="005512D7"/>
    <w:rsid w:val="005514F9"/>
    <w:rsid w:val="0055244E"/>
    <w:rsid w:val="00553548"/>
    <w:rsid w:val="005543DD"/>
    <w:rsid w:val="00554526"/>
    <w:rsid w:val="00555E99"/>
    <w:rsid w:val="00555EAF"/>
    <w:rsid w:val="005577E1"/>
    <w:rsid w:val="005600DF"/>
    <w:rsid w:val="00561F97"/>
    <w:rsid w:val="00562D15"/>
    <w:rsid w:val="00564CDF"/>
    <w:rsid w:val="0056757F"/>
    <w:rsid w:val="00571451"/>
    <w:rsid w:val="00571ABD"/>
    <w:rsid w:val="00571DDE"/>
    <w:rsid w:val="00572652"/>
    <w:rsid w:val="00574309"/>
    <w:rsid w:val="00576BE2"/>
    <w:rsid w:val="00576FEB"/>
    <w:rsid w:val="00580894"/>
    <w:rsid w:val="0058102A"/>
    <w:rsid w:val="005812F8"/>
    <w:rsid w:val="00581B3A"/>
    <w:rsid w:val="00582836"/>
    <w:rsid w:val="00582FAB"/>
    <w:rsid w:val="00583AF1"/>
    <w:rsid w:val="005840FB"/>
    <w:rsid w:val="005857CB"/>
    <w:rsid w:val="005858BE"/>
    <w:rsid w:val="00585E8C"/>
    <w:rsid w:val="00586B40"/>
    <w:rsid w:val="0058709F"/>
    <w:rsid w:val="00590B99"/>
    <w:rsid w:val="00591876"/>
    <w:rsid w:val="005928F6"/>
    <w:rsid w:val="00593798"/>
    <w:rsid w:val="00594B27"/>
    <w:rsid w:val="00595EDC"/>
    <w:rsid w:val="00596896"/>
    <w:rsid w:val="005A0884"/>
    <w:rsid w:val="005A156A"/>
    <w:rsid w:val="005A2959"/>
    <w:rsid w:val="005A2F9E"/>
    <w:rsid w:val="005A324C"/>
    <w:rsid w:val="005A443F"/>
    <w:rsid w:val="005A4B88"/>
    <w:rsid w:val="005A6709"/>
    <w:rsid w:val="005A6AEE"/>
    <w:rsid w:val="005B0ED5"/>
    <w:rsid w:val="005B22E6"/>
    <w:rsid w:val="005B2DC2"/>
    <w:rsid w:val="005B4170"/>
    <w:rsid w:val="005B4F8A"/>
    <w:rsid w:val="005B5A2A"/>
    <w:rsid w:val="005C2038"/>
    <w:rsid w:val="005C4094"/>
    <w:rsid w:val="005C40FB"/>
    <w:rsid w:val="005C5F4E"/>
    <w:rsid w:val="005C6613"/>
    <w:rsid w:val="005C759C"/>
    <w:rsid w:val="005C7CC4"/>
    <w:rsid w:val="005D18F7"/>
    <w:rsid w:val="005D1993"/>
    <w:rsid w:val="005D19BA"/>
    <w:rsid w:val="005D4276"/>
    <w:rsid w:val="005D6042"/>
    <w:rsid w:val="005D67AE"/>
    <w:rsid w:val="005E1599"/>
    <w:rsid w:val="005E1E4F"/>
    <w:rsid w:val="005E32B6"/>
    <w:rsid w:val="005E364C"/>
    <w:rsid w:val="005E4AE7"/>
    <w:rsid w:val="005E4E5B"/>
    <w:rsid w:val="005E643D"/>
    <w:rsid w:val="005E792A"/>
    <w:rsid w:val="005E7CB8"/>
    <w:rsid w:val="005E7E33"/>
    <w:rsid w:val="005E7E98"/>
    <w:rsid w:val="005F1D36"/>
    <w:rsid w:val="005F306D"/>
    <w:rsid w:val="005F36E9"/>
    <w:rsid w:val="005F371D"/>
    <w:rsid w:val="005F6DA7"/>
    <w:rsid w:val="005F77F2"/>
    <w:rsid w:val="00600D5D"/>
    <w:rsid w:val="006013F2"/>
    <w:rsid w:val="00601BE3"/>
    <w:rsid w:val="00603170"/>
    <w:rsid w:val="006046F1"/>
    <w:rsid w:val="006047E7"/>
    <w:rsid w:val="006058B1"/>
    <w:rsid w:val="00607F67"/>
    <w:rsid w:val="00612763"/>
    <w:rsid w:val="00612FF2"/>
    <w:rsid w:val="00613CB8"/>
    <w:rsid w:val="00614124"/>
    <w:rsid w:val="00614395"/>
    <w:rsid w:val="006165F5"/>
    <w:rsid w:val="0061786C"/>
    <w:rsid w:val="00617AB2"/>
    <w:rsid w:val="00620131"/>
    <w:rsid w:val="00620E01"/>
    <w:rsid w:val="00620E4A"/>
    <w:rsid w:val="0062285C"/>
    <w:rsid w:val="006244DD"/>
    <w:rsid w:val="006253BE"/>
    <w:rsid w:val="00625560"/>
    <w:rsid w:val="00627514"/>
    <w:rsid w:val="00630766"/>
    <w:rsid w:val="00631577"/>
    <w:rsid w:val="006329FF"/>
    <w:rsid w:val="00632E25"/>
    <w:rsid w:val="00632E2C"/>
    <w:rsid w:val="006331EC"/>
    <w:rsid w:val="0063367A"/>
    <w:rsid w:val="00634C30"/>
    <w:rsid w:val="006364BA"/>
    <w:rsid w:val="006365FE"/>
    <w:rsid w:val="0063669C"/>
    <w:rsid w:val="0063682A"/>
    <w:rsid w:val="00637147"/>
    <w:rsid w:val="00642B9B"/>
    <w:rsid w:val="0064412C"/>
    <w:rsid w:val="00646251"/>
    <w:rsid w:val="006469A1"/>
    <w:rsid w:val="00647C05"/>
    <w:rsid w:val="00647DAA"/>
    <w:rsid w:val="00654319"/>
    <w:rsid w:val="00654B34"/>
    <w:rsid w:val="00655E68"/>
    <w:rsid w:val="0065620D"/>
    <w:rsid w:val="006562C2"/>
    <w:rsid w:val="006565A0"/>
    <w:rsid w:val="006567E9"/>
    <w:rsid w:val="00661AAF"/>
    <w:rsid w:val="00662551"/>
    <w:rsid w:val="0066283F"/>
    <w:rsid w:val="006639AC"/>
    <w:rsid w:val="0066628D"/>
    <w:rsid w:val="006669F6"/>
    <w:rsid w:val="00670022"/>
    <w:rsid w:val="00670A2E"/>
    <w:rsid w:val="00674946"/>
    <w:rsid w:val="0067538E"/>
    <w:rsid w:val="006764E5"/>
    <w:rsid w:val="0067653B"/>
    <w:rsid w:val="00677BF6"/>
    <w:rsid w:val="0068046F"/>
    <w:rsid w:val="00680B91"/>
    <w:rsid w:val="0068235E"/>
    <w:rsid w:val="00682392"/>
    <w:rsid w:val="00683A0F"/>
    <w:rsid w:val="00684998"/>
    <w:rsid w:val="006855BC"/>
    <w:rsid w:val="0068694D"/>
    <w:rsid w:val="00686EB5"/>
    <w:rsid w:val="00690754"/>
    <w:rsid w:val="00690B5A"/>
    <w:rsid w:val="0069277E"/>
    <w:rsid w:val="00692D7E"/>
    <w:rsid w:val="0069493D"/>
    <w:rsid w:val="00695861"/>
    <w:rsid w:val="0069719B"/>
    <w:rsid w:val="006975C1"/>
    <w:rsid w:val="0069779B"/>
    <w:rsid w:val="006A0561"/>
    <w:rsid w:val="006A0DB1"/>
    <w:rsid w:val="006A4F92"/>
    <w:rsid w:val="006A6D54"/>
    <w:rsid w:val="006B1B06"/>
    <w:rsid w:val="006B1F9E"/>
    <w:rsid w:val="006B2BE8"/>
    <w:rsid w:val="006B2EDB"/>
    <w:rsid w:val="006B3D14"/>
    <w:rsid w:val="006B4EDE"/>
    <w:rsid w:val="006B5B87"/>
    <w:rsid w:val="006B73F8"/>
    <w:rsid w:val="006B793E"/>
    <w:rsid w:val="006B7CB2"/>
    <w:rsid w:val="006C03A8"/>
    <w:rsid w:val="006C0F06"/>
    <w:rsid w:val="006C3968"/>
    <w:rsid w:val="006C408C"/>
    <w:rsid w:val="006C574E"/>
    <w:rsid w:val="006C5F96"/>
    <w:rsid w:val="006D022C"/>
    <w:rsid w:val="006D0EF1"/>
    <w:rsid w:val="006D1999"/>
    <w:rsid w:val="006D1C2E"/>
    <w:rsid w:val="006D22BE"/>
    <w:rsid w:val="006D3E6B"/>
    <w:rsid w:val="006D5403"/>
    <w:rsid w:val="006D5E51"/>
    <w:rsid w:val="006D6C08"/>
    <w:rsid w:val="006D7E48"/>
    <w:rsid w:val="006E32B8"/>
    <w:rsid w:val="006E72AB"/>
    <w:rsid w:val="006E7986"/>
    <w:rsid w:val="006F05B6"/>
    <w:rsid w:val="006F0E40"/>
    <w:rsid w:val="006F1842"/>
    <w:rsid w:val="006F1990"/>
    <w:rsid w:val="006F2C7A"/>
    <w:rsid w:val="006F307F"/>
    <w:rsid w:val="006F375E"/>
    <w:rsid w:val="006F5272"/>
    <w:rsid w:val="006F7152"/>
    <w:rsid w:val="00700A98"/>
    <w:rsid w:val="00702157"/>
    <w:rsid w:val="0070254D"/>
    <w:rsid w:val="00702D23"/>
    <w:rsid w:val="00703814"/>
    <w:rsid w:val="0071038B"/>
    <w:rsid w:val="00710DA3"/>
    <w:rsid w:val="00711387"/>
    <w:rsid w:val="00711A59"/>
    <w:rsid w:val="00713EDE"/>
    <w:rsid w:val="007161B2"/>
    <w:rsid w:val="00716866"/>
    <w:rsid w:val="00717469"/>
    <w:rsid w:val="007179D9"/>
    <w:rsid w:val="00720315"/>
    <w:rsid w:val="007208E3"/>
    <w:rsid w:val="00720BA6"/>
    <w:rsid w:val="007223EA"/>
    <w:rsid w:val="0072353C"/>
    <w:rsid w:val="00724013"/>
    <w:rsid w:val="00724C5F"/>
    <w:rsid w:val="00726F1C"/>
    <w:rsid w:val="0072702D"/>
    <w:rsid w:val="00727653"/>
    <w:rsid w:val="00730AEC"/>
    <w:rsid w:val="00732418"/>
    <w:rsid w:val="00732F64"/>
    <w:rsid w:val="00735532"/>
    <w:rsid w:val="00735A46"/>
    <w:rsid w:val="007409C0"/>
    <w:rsid w:val="0074100F"/>
    <w:rsid w:val="0074145F"/>
    <w:rsid w:val="00742039"/>
    <w:rsid w:val="00742553"/>
    <w:rsid w:val="007435C8"/>
    <w:rsid w:val="00744E74"/>
    <w:rsid w:val="00745051"/>
    <w:rsid w:val="0074606A"/>
    <w:rsid w:val="0074606E"/>
    <w:rsid w:val="00747C86"/>
    <w:rsid w:val="00753034"/>
    <w:rsid w:val="00757898"/>
    <w:rsid w:val="007606A3"/>
    <w:rsid w:val="007618D0"/>
    <w:rsid w:val="00761A2B"/>
    <w:rsid w:val="00762AA3"/>
    <w:rsid w:val="00762D00"/>
    <w:rsid w:val="007634FF"/>
    <w:rsid w:val="00763ACC"/>
    <w:rsid w:val="007646DF"/>
    <w:rsid w:val="00764763"/>
    <w:rsid w:val="00764E15"/>
    <w:rsid w:val="00767527"/>
    <w:rsid w:val="00767ED0"/>
    <w:rsid w:val="007700C0"/>
    <w:rsid w:val="00770497"/>
    <w:rsid w:val="007737F5"/>
    <w:rsid w:val="00773817"/>
    <w:rsid w:val="00773B30"/>
    <w:rsid w:val="00773D1E"/>
    <w:rsid w:val="00773FBD"/>
    <w:rsid w:val="0077680F"/>
    <w:rsid w:val="007771A6"/>
    <w:rsid w:val="00781950"/>
    <w:rsid w:val="0078255A"/>
    <w:rsid w:val="00783F1D"/>
    <w:rsid w:val="007843B3"/>
    <w:rsid w:val="0078511C"/>
    <w:rsid w:val="00786220"/>
    <w:rsid w:val="0078656D"/>
    <w:rsid w:val="00786A3F"/>
    <w:rsid w:val="007876D1"/>
    <w:rsid w:val="007910A7"/>
    <w:rsid w:val="007931F4"/>
    <w:rsid w:val="007962C0"/>
    <w:rsid w:val="007A1DED"/>
    <w:rsid w:val="007A3E1B"/>
    <w:rsid w:val="007A64E2"/>
    <w:rsid w:val="007A67E6"/>
    <w:rsid w:val="007A68A2"/>
    <w:rsid w:val="007A69CC"/>
    <w:rsid w:val="007A7E97"/>
    <w:rsid w:val="007B2E07"/>
    <w:rsid w:val="007B2E74"/>
    <w:rsid w:val="007B2ECE"/>
    <w:rsid w:val="007B46AD"/>
    <w:rsid w:val="007B522D"/>
    <w:rsid w:val="007B557E"/>
    <w:rsid w:val="007B6587"/>
    <w:rsid w:val="007B65F8"/>
    <w:rsid w:val="007B67AE"/>
    <w:rsid w:val="007B7223"/>
    <w:rsid w:val="007B7274"/>
    <w:rsid w:val="007B7F93"/>
    <w:rsid w:val="007C051A"/>
    <w:rsid w:val="007C2E4C"/>
    <w:rsid w:val="007C4453"/>
    <w:rsid w:val="007C4AFE"/>
    <w:rsid w:val="007C6177"/>
    <w:rsid w:val="007C7F89"/>
    <w:rsid w:val="007D153A"/>
    <w:rsid w:val="007D178C"/>
    <w:rsid w:val="007D1E2A"/>
    <w:rsid w:val="007D1FBA"/>
    <w:rsid w:val="007D2350"/>
    <w:rsid w:val="007D2424"/>
    <w:rsid w:val="007D298E"/>
    <w:rsid w:val="007D312A"/>
    <w:rsid w:val="007D36EE"/>
    <w:rsid w:val="007D4E07"/>
    <w:rsid w:val="007D4F43"/>
    <w:rsid w:val="007D644F"/>
    <w:rsid w:val="007E042A"/>
    <w:rsid w:val="007E0A05"/>
    <w:rsid w:val="007E286B"/>
    <w:rsid w:val="007E3CBD"/>
    <w:rsid w:val="007E53AA"/>
    <w:rsid w:val="007E577F"/>
    <w:rsid w:val="007E5794"/>
    <w:rsid w:val="007E6A64"/>
    <w:rsid w:val="007E6FDB"/>
    <w:rsid w:val="007F1145"/>
    <w:rsid w:val="007F179C"/>
    <w:rsid w:val="007F4802"/>
    <w:rsid w:val="007F5DD3"/>
    <w:rsid w:val="007F676C"/>
    <w:rsid w:val="00800136"/>
    <w:rsid w:val="00800E27"/>
    <w:rsid w:val="008017D1"/>
    <w:rsid w:val="00805860"/>
    <w:rsid w:val="008062F7"/>
    <w:rsid w:val="00806D6B"/>
    <w:rsid w:val="008074C4"/>
    <w:rsid w:val="008077DF"/>
    <w:rsid w:val="00807C02"/>
    <w:rsid w:val="00807C57"/>
    <w:rsid w:val="00810DDD"/>
    <w:rsid w:val="008114B8"/>
    <w:rsid w:val="008118F1"/>
    <w:rsid w:val="00812A9B"/>
    <w:rsid w:val="00812D2A"/>
    <w:rsid w:val="00813138"/>
    <w:rsid w:val="00814F8B"/>
    <w:rsid w:val="008155E7"/>
    <w:rsid w:val="00820350"/>
    <w:rsid w:val="00820AED"/>
    <w:rsid w:val="00820BE8"/>
    <w:rsid w:val="00820F6C"/>
    <w:rsid w:val="00821D8F"/>
    <w:rsid w:val="00823521"/>
    <w:rsid w:val="008235A8"/>
    <w:rsid w:val="00824B82"/>
    <w:rsid w:val="008275B3"/>
    <w:rsid w:val="008275BC"/>
    <w:rsid w:val="0082761C"/>
    <w:rsid w:val="00830034"/>
    <w:rsid w:val="0083034F"/>
    <w:rsid w:val="00831D25"/>
    <w:rsid w:val="0083254C"/>
    <w:rsid w:val="00840813"/>
    <w:rsid w:val="00840CEC"/>
    <w:rsid w:val="00841EDD"/>
    <w:rsid w:val="0084280C"/>
    <w:rsid w:val="008463BD"/>
    <w:rsid w:val="008500A8"/>
    <w:rsid w:val="008509AD"/>
    <w:rsid w:val="00850F53"/>
    <w:rsid w:val="00852C81"/>
    <w:rsid w:val="00852C99"/>
    <w:rsid w:val="00852F7C"/>
    <w:rsid w:val="00853385"/>
    <w:rsid w:val="00853C8E"/>
    <w:rsid w:val="008552F1"/>
    <w:rsid w:val="008565C2"/>
    <w:rsid w:val="00861C1B"/>
    <w:rsid w:val="00862ABF"/>
    <w:rsid w:val="00864119"/>
    <w:rsid w:val="00864D1C"/>
    <w:rsid w:val="008650E6"/>
    <w:rsid w:val="0086578C"/>
    <w:rsid w:val="008666AC"/>
    <w:rsid w:val="008668C9"/>
    <w:rsid w:val="00866961"/>
    <w:rsid w:val="00867197"/>
    <w:rsid w:val="00867F0B"/>
    <w:rsid w:val="00870B70"/>
    <w:rsid w:val="00871BFE"/>
    <w:rsid w:val="0087232C"/>
    <w:rsid w:val="00872417"/>
    <w:rsid w:val="00872B59"/>
    <w:rsid w:val="00875021"/>
    <w:rsid w:val="0087694F"/>
    <w:rsid w:val="00876D3D"/>
    <w:rsid w:val="008807AD"/>
    <w:rsid w:val="00880B9B"/>
    <w:rsid w:val="00881E49"/>
    <w:rsid w:val="00883DD1"/>
    <w:rsid w:val="008847F8"/>
    <w:rsid w:val="00884CE3"/>
    <w:rsid w:val="00886330"/>
    <w:rsid w:val="0088638E"/>
    <w:rsid w:val="0089011F"/>
    <w:rsid w:val="008915C5"/>
    <w:rsid w:val="0089197B"/>
    <w:rsid w:val="00892087"/>
    <w:rsid w:val="008922E6"/>
    <w:rsid w:val="00892541"/>
    <w:rsid w:val="00892B9A"/>
    <w:rsid w:val="008931DA"/>
    <w:rsid w:val="008933ED"/>
    <w:rsid w:val="0089512D"/>
    <w:rsid w:val="00895CD6"/>
    <w:rsid w:val="008973C4"/>
    <w:rsid w:val="0089798A"/>
    <w:rsid w:val="008A0A81"/>
    <w:rsid w:val="008A16D7"/>
    <w:rsid w:val="008A1703"/>
    <w:rsid w:val="008A36CE"/>
    <w:rsid w:val="008A56C6"/>
    <w:rsid w:val="008A6421"/>
    <w:rsid w:val="008A6DDE"/>
    <w:rsid w:val="008A7137"/>
    <w:rsid w:val="008B017E"/>
    <w:rsid w:val="008B3881"/>
    <w:rsid w:val="008B48A0"/>
    <w:rsid w:val="008B5AEA"/>
    <w:rsid w:val="008B5C50"/>
    <w:rsid w:val="008B6549"/>
    <w:rsid w:val="008B6F52"/>
    <w:rsid w:val="008B7A28"/>
    <w:rsid w:val="008C00CC"/>
    <w:rsid w:val="008C2015"/>
    <w:rsid w:val="008C3D54"/>
    <w:rsid w:val="008C40DA"/>
    <w:rsid w:val="008C461C"/>
    <w:rsid w:val="008C5E9C"/>
    <w:rsid w:val="008C6050"/>
    <w:rsid w:val="008C6B96"/>
    <w:rsid w:val="008C6CD6"/>
    <w:rsid w:val="008D050B"/>
    <w:rsid w:val="008D081C"/>
    <w:rsid w:val="008D1EDD"/>
    <w:rsid w:val="008D26B3"/>
    <w:rsid w:val="008D3AF3"/>
    <w:rsid w:val="008D5B15"/>
    <w:rsid w:val="008D5C5C"/>
    <w:rsid w:val="008E0C74"/>
    <w:rsid w:val="008E2E5B"/>
    <w:rsid w:val="008E3F98"/>
    <w:rsid w:val="008E425F"/>
    <w:rsid w:val="008E76FD"/>
    <w:rsid w:val="008F0560"/>
    <w:rsid w:val="008F0883"/>
    <w:rsid w:val="008F1DB0"/>
    <w:rsid w:val="008F210A"/>
    <w:rsid w:val="008F245B"/>
    <w:rsid w:val="008F2663"/>
    <w:rsid w:val="008F29AA"/>
    <w:rsid w:val="008F3B90"/>
    <w:rsid w:val="008F4B8D"/>
    <w:rsid w:val="008F58C0"/>
    <w:rsid w:val="008F6CB2"/>
    <w:rsid w:val="00900B0F"/>
    <w:rsid w:val="00901034"/>
    <w:rsid w:val="0090183F"/>
    <w:rsid w:val="009022B2"/>
    <w:rsid w:val="0090272B"/>
    <w:rsid w:val="00905A60"/>
    <w:rsid w:val="00905DBA"/>
    <w:rsid w:val="009063A3"/>
    <w:rsid w:val="009114C0"/>
    <w:rsid w:val="009120F8"/>
    <w:rsid w:val="0091438C"/>
    <w:rsid w:val="00914728"/>
    <w:rsid w:val="00920872"/>
    <w:rsid w:val="00921749"/>
    <w:rsid w:val="00922DC2"/>
    <w:rsid w:val="00923459"/>
    <w:rsid w:val="0092441C"/>
    <w:rsid w:val="00924881"/>
    <w:rsid w:val="00927E24"/>
    <w:rsid w:val="00931E57"/>
    <w:rsid w:val="00932619"/>
    <w:rsid w:val="00933446"/>
    <w:rsid w:val="009347B5"/>
    <w:rsid w:val="00936E87"/>
    <w:rsid w:val="00936F13"/>
    <w:rsid w:val="0094036E"/>
    <w:rsid w:val="00941618"/>
    <w:rsid w:val="00941F6F"/>
    <w:rsid w:val="009436CF"/>
    <w:rsid w:val="0094425A"/>
    <w:rsid w:val="009456EE"/>
    <w:rsid w:val="00946B1F"/>
    <w:rsid w:val="00946F72"/>
    <w:rsid w:val="009471B8"/>
    <w:rsid w:val="00951315"/>
    <w:rsid w:val="009524BE"/>
    <w:rsid w:val="00952B35"/>
    <w:rsid w:val="00952DE1"/>
    <w:rsid w:val="00953EA1"/>
    <w:rsid w:val="009565E6"/>
    <w:rsid w:val="009569D2"/>
    <w:rsid w:val="0095746F"/>
    <w:rsid w:val="00960BF4"/>
    <w:rsid w:val="00960D9B"/>
    <w:rsid w:val="00961BBC"/>
    <w:rsid w:val="00961E82"/>
    <w:rsid w:val="00962655"/>
    <w:rsid w:val="00962834"/>
    <w:rsid w:val="00963439"/>
    <w:rsid w:val="009636C5"/>
    <w:rsid w:val="0096703F"/>
    <w:rsid w:val="00970405"/>
    <w:rsid w:val="009705B4"/>
    <w:rsid w:val="009731D7"/>
    <w:rsid w:val="0097411A"/>
    <w:rsid w:val="00974335"/>
    <w:rsid w:val="00975376"/>
    <w:rsid w:val="009766BF"/>
    <w:rsid w:val="0097673A"/>
    <w:rsid w:val="00981377"/>
    <w:rsid w:val="0098289F"/>
    <w:rsid w:val="009847B9"/>
    <w:rsid w:val="00984CE5"/>
    <w:rsid w:val="009856E5"/>
    <w:rsid w:val="00986DD0"/>
    <w:rsid w:val="00987341"/>
    <w:rsid w:val="00987801"/>
    <w:rsid w:val="009879E4"/>
    <w:rsid w:val="00991642"/>
    <w:rsid w:val="009922F0"/>
    <w:rsid w:val="00992AF8"/>
    <w:rsid w:val="00992F8E"/>
    <w:rsid w:val="00993482"/>
    <w:rsid w:val="00993558"/>
    <w:rsid w:val="00994389"/>
    <w:rsid w:val="00995756"/>
    <w:rsid w:val="00995BBD"/>
    <w:rsid w:val="00995E88"/>
    <w:rsid w:val="00995FE6"/>
    <w:rsid w:val="009A0C03"/>
    <w:rsid w:val="009A1811"/>
    <w:rsid w:val="009A1E70"/>
    <w:rsid w:val="009A1FEE"/>
    <w:rsid w:val="009A4A65"/>
    <w:rsid w:val="009A54A8"/>
    <w:rsid w:val="009A678A"/>
    <w:rsid w:val="009A796A"/>
    <w:rsid w:val="009A7987"/>
    <w:rsid w:val="009B066B"/>
    <w:rsid w:val="009B1ED9"/>
    <w:rsid w:val="009B4631"/>
    <w:rsid w:val="009B46B6"/>
    <w:rsid w:val="009C0D95"/>
    <w:rsid w:val="009C0DF6"/>
    <w:rsid w:val="009C110A"/>
    <w:rsid w:val="009C1D29"/>
    <w:rsid w:val="009C293E"/>
    <w:rsid w:val="009C3059"/>
    <w:rsid w:val="009C36FB"/>
    <w:rsid w:val="009C3E5D"/>
    <w:rsid w:val="009C4DAB"/>
    <w:rsid w:val="009C5E53"/>
    <w:rsid w:val="009C5F0C"/>
    <w:rsid w:val="009D002C"/>
    <w:rsid w:val="009D021F"/>
    <w:rsid w:val="009D05DA"/>
    <w:rsid w:val="009D19ED"/>
    <w:rsid w:val="009D26CE"/>
    <w:rsid w:val="009D2AED"/>
    <w:rsid w:val="009D2AFB"/>
    <w:rsid w:val="009D5D4D"/>
    <w:rsid w:val="009D6093"/>
    <w:rsid w:val="009D6D33"/>
    <w:rsid w:val="009D7D12"/>
    <w:rsid w:val="009E00EE"/>
    <w:rsid w:val="009E11CF"/>
    <w:rsid w:val="009E1A36"/>
    <w:rsid w:val="009E2588"/>
    <w:rsid w:val="009E2776"/>
    <w:rsid w:val="009E2CA4"/>
    <w:rsid w:val="009E3131"/>
    <w:rsid w:val="009E3F6A"/>
    <w:rsid w:val="009E4873"/>
    <w:rsid w:val="009E53A9"/>
    <w:rsid w:val="009E7E82"/>
    <w:rsid w:val="009E7ED3"/>
    <w:rsid w:val="009F02D1"/>
    <w:rsid w:val="009F0304"/>
    <w:rsid w:val="009F0472"/>
    <w:rsid w:val="009F048C"/>
    <w:rsid w:val="009F1E68"/>
    <w:rsid w:val="009F411E"/>
    <w:rsid w:val="009F4437"/>
    <w:rsid w:val="009F5D8D"/>
    <w:rsid w:val="009F7602"/>
    <w:rsid w:val="00A02466"/>
    <w:rsid w:val="00A026F1"/>
    <w:rsid w:val="00A02D22"/>
    <w:rsid w:val="00A031AF"/>
    <w:rsid w:val="00A03C7A"/>
    <w:rsid w:val="00A0430E"/>
    <w:rsid w:val="00A06289"/>
    <w:rsid w:val="00A06B3D"/>
    <w:rsid w:val="00A06C9F"/>
    <w:rsid w:val="00A07748"/>
    <w:rsid w:val="00A112C7"/>
    <w:rsid w:val="00A11500"/>
    <w:rsid w:val="00A12290"/>
    <w:rsid w:val="00A12C47"/>
    <w:rsid w:val="00A13CE0"/>
    <w:rsid w:val="00A13E05"/>
    <w:rsid w:val="00A14663"/>
    <w:rsid w:val="00A15620"/>
    <w:rsid w:val="00A15CEC"/>
    <w:rsid w:val="00A16F1F"/>
    <w:rsid w:val="00A17FF9"/>
    <w:rsid w:val="00A2034E"/>
    <w:rsid w:val="00A23B07"/>
    <w:rsid w:val="00A23EC8"/>
    <w:rsid w:val="00A25142"/>
    <w:rsid w:val="00A26630"/>
    <w:rsid w:val="00A26EC7"/>
    <w:rsid w:val="00A26ECD"/>
    <w:rsid w:val="00A275F4"/>
    <w:rsid w:val="00A27B45"/>
    <w:rsid w:val="00A308A8"/>
    <w:rsid w:val="00A342CC"/>
    <w:rsid w:val="00A344BA"/>
    <w:rsid w:val="00A35426"/>
    <w:rsid w:val="00A35DB4"/>
    <w:rsid w:val="00A36688"/>
    <w:rsid w:val="00A41089"/>
    <w:rsid w:val="00A42777"/>
    <w:rsid w:val="00A45ACC"/>
    <w:rsid w:val="00A46512"/>
    <w:rsid w:val="00A50D97"/>
    <w:rsid w:val="00A5133D"/>
    <w:rsid w:val="00A536F0"/>
    <w:rsid w:val="00A53F9B"/>
    <w:rsid w:val="00A54405"/>
    <w:rsid w:val="00A548B6"/>
    <w:rsid w:val="00A55833"/>
    <w:rsid w:val="00A55EA5"/>
    <w:rsid w:val="00A5713F"/>
    <w:rsid w:val="00A574F6"/>
    <w:rsid w:val="00A6243A"/>
    <w:rsid w:val="00A64CE6"/>
    <w:rsid w:val="00A66CEC"/>
    <w:rsid w:val="00A718E0"/>
    <w:rsid w:val="00A750BB"/>
    <w:rsid w:val="00A8078B"/>
    <w:rsid w:val="00A80941"/>
    <w:rsid w:val="00A80F94"/>
    <w:rsid w:val="00A81D99"/>
    <w:rsid w:val="00A83DEF"/>
    <w:rsid w:val="00A83F78"/>
    <w:rsid w:val="00A84863"/>
    <w:rsid w:val="00A84F7E"/>
    <w:rsid w:val="00A85209"/>
    <w:rsid w:val="00A8596B"/>
    <w:rsid w:val="00A85A8A"/>
    <w:rsid w:val="00A86D27"/>
    <w:rsid w:val="00A90351"/>
    <w:rsid w:val="00A90503"/>
    <w:rsid w:val="00A9128D"/>
    <w:rsid w:val="00A91516"/>
    <w:rsid w:val="00A92AA6"/>
    <w:rsid w:val="00A92BE4"/>
    <w:rsid w:val="00A940D4"/>
    <w:rsid w:val="00A9513E"/>
    <w:rsid w:val="00A95C7E"/>
    <w:rsid w:val="00A960F4"/>
    <w:rsid w:val="00AA0605"/>
    <w:rsid w:val="00AA2ECF"/>
    <w:rsid w:val="00AA2FCB"/>
    <w:rsid w:val="00AA3378"/>
    <w:rsid w:val="00AA3D83"/>
    <w:rsid w:val="00AA4912"/>
    <w:rsid w:val="00AA74B2"/>
    <w:rsid w:val="00AA7C50"/>
    <w:rsid w:val="00AA7F1D"/>
    <w:rsid w:val="00AB03FB"/>
    <w:rsid w:val="00AB16E5"/>
    <w:rsid w:val="00AB242C"/>
    <w:rsid w:val="00AB3231"/>
    <w:rsid w:val="00AB39C3"/>
    <w:rsid w:val="00AB4DCE"/>
    <w:rsid w:val="00AB4E28"/>
    <w:rsid w:val="00AB5137"/>
    <w:rsid w:val="00AB5718"/>
    <w:rsid w:val="00AB6FCF"/>
    <w:rsid w:val="00AC042E"/>
    <w:rsid w:val="00AC05C7"/>
    <w:rsid w:val="00AC220A"/>
    <w:rsid w:val="00AC3A29"/>
    <w:rsid w:val="00AC4DBE"/>
    <w:rsid w:val="00AC4E4F"/>
    <w:rsid w:val="00AC6B68"/>
    <w:rsid w:val="00AC6BB8"/>
    <w:rsid w:val="00AC754D"/>
    <w:rsid w:val="00AC75DB"/>
    <w:rsid w:val="00AD0095"/>
    <w:rsid w:val="00AD06BD"/>
    <w:rsid w:val="00AD0BA5"/>
    <w:rsid w:val="00AD1018"/>
    <w:rsid w:val="00AD2CFD"/>
    <w:rsid w:val="00AD311D"/>
    <w:rsid w:val="00AD36A9"/>
    <w:rsid w:val="00AD3A9D"/>
    <w:rsid w:val="00AD3CEE"/>
    <w:rsid w:val="00AD5222"/>
    <w:rsid w:val="00AD5D3E"/>
    <w:rsid w:val="00AD5EF4"/>
    <w:rsid w:val="00AD758D"/>
    <w:rsid w:val="00AE150D"/>
    <w:rsid w:val="00AE217C"/>
    <w:rsid w:val="00AE23C0"/>
    <w:rsid w:val="00AE2A21"/>
    <w:rsid w:val="00AE3AEA"/>
    <w:rsid w:val="00AE3EED"/>
    <w:rsid w:val="00AE4A21"/>
    <w:rsid w:val="00AE50B5"/>
    <w:rsid w:val="00AF02D4"/>
    <w:rsid w:val="00AF1745"/>
    <w:rsid w:val="00AF34C3"/>
    <w:rsid w:val="00AF524B"/>
    <w:rsid w:val="00AF64C8"/>
    <w:rsid w:val="00AF6CC2"/>
    <w:rsid w:val="00AF7FEE"/>
    <w:rsid w:val="00B00C60"/>
    <w:rsid w:val="00B00DC1"/>
    <w:rsid w:val="00B0209E"/>
    <w:rsid w:val="00B02D6E"/>
    <w:rsid w:val="00B04734"/>
    <w:rsid w:val="00B04CDA"/>
    <w:rsid w:val="00B04F7C"/>
    <w:rsid w:val="00B05016"/>
    <w:rsid w:val="00B07285"/>
    <w:rsid w:val="00B072B2"/>
    <w:rsid w:val="00B10B5B"/>
    <w:rsid w:val="00B10D9D"/>
    <w:rsid w:val="00B11A7E"/>
    <w:rsid w:val="00B11CEE"/>
    <w:rsid w:val="00B12A29"/>
    <w:rsid w:val="00B164F1"/>
    <w:rsid w:val="00B16FD7"/>
    <w:rsid w:val="00B17048"/>
    <w:rsid w:val="00B17DF5"/>
    <w:rsid w:val="00B20012"/>
    <w:rsid w:val="00B206D8"/>
    <w:rsid w:val="00B2099B"/>
    <w:rsid w:val="00B216E9"/>
    <w:rsid w:val="00B22392"/>
    <w:rsid w:val="00B2314F"/>
    <w:rsid w:val="00B23684"/>
    <w:rsid w:val="00B25537"/>
    <w:rsid w:val="00B2649D"/>
    <w:rsid w:val="00B26DB6"/>
    <w:rsid w:val="00B2771D"/>
    <w:rsid w:val="00B31893"/>
    <w:rsid w:val="00B32526"/>
    <w:rsid w:val="00B32B40"/>
    <w:rsid w:val="00B32B8B"/>
    <w:rsid w:val="00B341E3"/>
    <w:rsid w:val="00B360FE"/>
    <w:rsid w:val="00B36B20"/>
    <w:rsid w:val="00B36E34"/>
    <w:rsid w:val="00B40ECC"/>
    <w:rsid w:val="00B419E1"/>
    <w:rsid w:val="00B4397E"/>
    <w:rsid w:val="00B43C4E"/>
    <w:rsid w:val="00B45058"/>
    <w:rsid w:val="00B45B6B"/>
    <w:rsid w:val="00B46682"/>
    <w:rsid w:val="00B50F68"/>
    <w:rsid w:val="00B51781"/>
    <w:rsid w:val="00B53523"/>
    <w:rsid w:val="00B53ECF"/>
    <w:rsid w:val="00B5424E"/>
    <w:rsid w:val="00B54783"/>
    <w:rsid w:val="00B54B0B"/>
    <w:rsid w:val="00B54B7C"/>
    <w:rsid w:val="00B57C82"/>
    <w:rsid w:val="00B61C39"/>
    <w:rsid w:val="00B62843"/>
    <w:rsid w:val="00B62D69"/>
    <w:rsid w:val="00B645FA"/>
    <w:rsid w:val="00B64C43"/>
    <w:rsid w:val="00B64E64"/>
    <w:rsid w:val="00B65B47"/>
    <w:rsid w:val="00B67A60"/>
    <w:rsid w:val="00B717F1"/>
    <w:rsid w:val="00B72419"/>
    <w:rsid w:val="00B72590"/>
    <w:rsid w:val="00B75B3C"/>
    <w:rsid w:val="00B76CA4"/>
    <w:rsid w:val="00B77162"/>
    <w:rsid w:val="00B777C9"/>
    <w:rsid w:val="00B806B3"/>
    <w:rsid w:val="00B80FA4"/>
    <w:rsid w:val="00B81583"/>
    <w:rsid w:val="00B83326"/>
    <w:rsid w:val="00B844BA"/>
    <w:rsid w:val="00B84822"/>
    <w:rsid w:val="00B84829"/>
    <w:rsid w:val="00B84B86"/>
    <w:rsid w:val="00B862C3"/>
    <w:rsid w:val="00B870CE"/>
    <w:rsid w:val="00B877CA"/>
    <w:rsid w:val="00B8796C"/>
    <w:rsid w:val="00B87C7F"/>
    <w:rsid w:val="00B91E35"/>
    <w:rsid w:val="00B928F3"/>
    <w:rsid w:val="00B93103"/>
    <w:rsid w:val="00B93A06"/>
    <w:rsid w:val="00B9403C"/>
    <w:rsid w:val="00B969B2"/>
    <w:rsid w:val="00B972D0"/>
    <w:rsid w:val="00B973DA"/>
    <w:rsid w:val="00B9741B"/>
    <w:rsid w:val="00B97461"/>
    <w:rsid w:val="00B97BF7"/>
    <w:rsid w:val="00BA0198"/>
    <w:rsid w:val="00BA04E7"/>
    <w:rsid w:val="00BA2123"/>
    <w:rsid w:val="00BA2472"/>
    <w:rsid w:val="00BA2504"/>
    <w:rsid w:val="00BA2E34"/>
    <w:rsid w:val="00BA4436"/>
    <w:rsid w:val="00BA54BC"/>
    <w:rsid w:val="00BA6258"/>
    <w:rsid w:val="00BB43DF"/>
    <w:rsid w:val="00BC118F"/>
    <w:rsid w:val="00BC189A"/>
    <w:rsid w:val="00BC19E5"/>
    <w:rsid w:val="00BC2E52"/>
    <w:rsid w:val="00BC6307"/>
    <w:rsid w:val="00BC7C61"/>
    <w:rsid w:val="00BD089A"/>
    <w:rsid w:val="00BD3500"/>
    <w:rsid w:val="00BD40FC"/>
    <w:rsid w:val="00BD4648"/>
    <w:rsid w:val="00BD4E3F"/>
    <w:rsid w:val="00BD58E8"/>
    <w:rsid w:val="00BE0EFA"/>
    <w:rsid w:val="00BE20FA"/>
    <w:rsid w:val="00BE29CA"/>
    <w:rsid w:val="00BE3674"/>
    <w:rsid w:val="00BE6A9A"/>
    <w:rsid w:val="00BE6C05"/>
    <w:rsid w:val="00BE6E59"/>
    <w:rsid w:val="00BE72D4"/>
    <w:rsid w:val="00BE7E42"/>
    <w:rsid w:val="00BF02FD"/>
    <w:rsid w:val="00BF049E"/>
    <w:rsid w:val="00BF26C9"/>
    <w:rsid w:val="00BF4FF3"/>
    <w:rsid w:val="00BF626A"/>
    <w:rsid w:val="00BF6C0F"/>
    <w:rsid w:val="00BF72FE"/>
    <w:rsid w:val="00BF7346"/>
    <w:rsid w:val="00BF7C88"/>
    <w:rsid w:val="00C00A90"/>
    <w:rsid w:val="00C00C8F"/>
    <w:rsid w:val="00C0124C"/>
    <w:rsid w:val="00C01506"/>
    <w:rsid w:val="00C01517"/>
    <w:rsid w:val="00C019B6"/>
    <w:rsid w:val="00C02CA8"/>
    <w:rsid w:val="00C033A4"/>
    <w:rsid w:val="00C0392F"/>
    <w:rsid w:val="00C04777"/>
    <w:rsid w:val="00C04E30"/>
    <w:rsid w:val="00C04F45"/>
    <w:rsid w:val="00C0653C"/>
    <w:rsid w:val="00C067DE"/>
    <w:rsid w:val="00C06828"/>
    <w:rsid w:val="00C102AF"/>
    <w:rsid w:val="00C10B23"/>
    <w:rsid w:val="00C10B9A"/>
    <w:rsid w:val="00C129EE"/>
    <w:rsid w:val="00C12DBA"/>
    <w:rsid w:val="00C13012"/>
    <w:rsid w:val="00C14139"/>
    <w:rsid w:val="00C15858"/>
    <w:rsid w:val="00C15BD8"/>
    <w:rsid w:val="00C15F09"/>
    <w:rsid w:val="00C1760D"/>
    <w:rsid w:val="00C20355"/>
    <w:rsid w:val="00C2049F"/>
    <w:rsid w:val="00C2138C"/>
    <w:rsid w:val="00C23E1A"/>
    <w:rsid w:val="00C25F76"/>
    <w:rsid w:val="00C25FEB"/>
    <w:rsid w:val="00C267A0"/>
    <w:rsid w:val="00C26E3E"/>
    <w:rsid w:val="00C321C6"/>
    <w:rsid w:val="00C34BD8"/>
    <w:rsid w:val="00C351F8"/>
    <w:rsid w:val="00C3581B"/>
    <w:rsid w:val="00C37470"/>
    <w:rsid w:val="00C40387"/>
    <w:rsid w:val="00C42D83"/>
    <w:rsid w:val="00C42F07"/>
    <w:rsid w:val="00C434A0"/>
    <w:rsid w:val="00C43785"/>
    <w:rsid w:val="00C444B3"/>
    <w:rsid w:val="00C45255"/>
    <w:rsid w:val="00C45375"/>
    <w:rsid w:val="00C4564C"/>
    <w:rsid w:val="00C47BB1"/>
    <w:rsid w:val="00C47FB1"/>
    <w:rsid w:val="00C50C18"/>
    <w:rsid w:val="00C50CA9"/>
    <w:rsid w:val="00C51BDB"/>
    <w:rsid w:val="00C52398"/>
    <w:rsid w:val="00C524D9"/>
    <w:rsid w:val="00C53B2F"/>
    <w:rsid w:val="00C55958"/>
    <w:rsid w:val="00C56F74"/>
    <w:rsid w:val="00C619B0"/>
    <w:rsid w:val="00C65755"/>
    <w:rsid w:val="00C66400"/>
    <w:rsid w:val="00C668F8"/>
    <w:rsid w:val="00C670B5"/>
    <w:rsid w:val="00C67F07"/>
    <w:rsid w:val="00C706D8"/>
    <w:rsid w:val="00C71F37"/>
    <w:rsid w:val="00C735DF"/>
    <w:rsid w:val="00C73852"/>
    <w:rsid w:val="00C73FDB"/>
    <w:rsid w:val="00C74396"/>
    <w:rsid w:val="00C74918"/>
    <w:rsid w:val="00C75392"/>
    <w:rsid w:val="00C75E78"/>
    <w:rsid w:val="00C76950"/>
    <w:rsid w:val="00C76BD7"/>
    <w:rsid w:val="00C77218"/>
    <w:rsid w:val="00C81373"/>
    <w:rsid w:val="00C81A13"/>
    <w:rsid w:val="00C81FF2"/>
    <w:rsid w:val="00C8358D"/>
    <w:rsid w:val="00C83A3A"/>
    <w:rsid w:val="00C8522B"/>
    <w:rsid w:val="00C860ED"/>
    <w:rsid w:val="00C8647A"/>
    <w:rsid w:val="00C87190"/>
    <w:rsid w:val="00C90E33"/>
    <w:rsid w:val="00C90F59"/>
    <w:rsid w:val="00C9517A"/>
    <w:rsid w:val="00C955A5"/>
    <w:rsid w:val="00C95627"/>
    <w:rsid w:val="00C9563A"/>
    <w:rsid w:val="00C96260"/>
    <w:rsid w:val="00C97161"/>
    <w:rsid w:val="00CA0A85"/>
    <w:rsid w:val="00CA0C2B"/>
    <w:rsid w:val="00CA1A7F"/>
    <w:rsid w:val="00CA309B"/>
    <w:rsid w:val="00CA4F63"/>
    <w:rsid w:val="00CB00F3"/>
    <w:rsid w:val="00CB1575"/>
    <w:rsid w:val="00CB1BE6"/>
    <w:rsid w:val="00CB2036"/>
    <w:rsid w:val="00CB2960"/>
    <w:rsid w:val="00CB34C4"/>
    <w:rsid w:val="00CB3F55"/>
    <w:rsid w:val="00CB46B4"/>
    <w:rsid w:val="00CB5231"/>
    <w:rsid w:val="00CB575F"/>
    <w:rsid w:val="00CB5CBA"/>
    <w:rsid w:val="00CB65B3"/>
    <w:rsid w:val="00CB7623"/>
    <w:rsid w:val="00CB7EC1"/>
    <w:rsid w:val="00CC0F46"/>
    <w:rsid w:val="00CC3523"/>
    <w:rsid w:val="00CC367F"/>
    <w:rsid w:val="00CC44BC"/>
    <w:rsid w:val="00CC4608"/>
    <w:rsid w:val="00CC49C5"/>
    <w:rsid w:val="00CC5383"/>
    <w:rsid w:val="00CD10CE"/>
    <w:rsid w:val="00CD33A3"/>
    <w:rsid w:val="00CD5092"/>
    <w:rsid w:val="00CD599B"/>
    <w:rsid w:val="00CD7723"/>
    <w:rsid w:val="00CD79DD"/>
    <w:rsid w:val="00CE3971"/>
    <w:rsid w:val="00CE3C82"/>
    <w:rsid w:val="00CE40AA"/>
    <w:rsid w:val="00CE4B18"/>
    <w:rsid w:val="00CE53EA"/>
    <w:rsid w:val="00CF03DE"/>
    <w:rsid w:val="00CF3F12"/>
    <w:rsid w:val="00CF496E"/>
    <w:rsid w:val="00CF5BFC"/>
    <w:rsid w:val="00D00A27"/>
    <w:rsid w:val="00D01656"/>
    <w:rsid w:val="00D0207E"/>
    <w:rsid w:val="00D0413F"/>
    <w:rsid w:val="00D043A7"/>
    <w:rsid w:val="00D04816"/>
    <w:rsid w:val="00D049A4"/>
    <w:rsid w:val="00D05A34"/>
    <w:rsid w:val="00D05CC6"/>
    <w:rsid w:val="00D05CD4"/>
    <w:rsid w:val="00D11174"/>
    <w:rsid w:val="00D11350"/>
    <w:rsid w:val="00D116F4"/>
    <w:rsid w:val="00D11E31"/>
    <w:rsid w:val="00D1307F"/>
    <w:rsid w:val="00D14517"/>
    <w:rsid w:val="00D160F7"/>
    <w:rsid w:val="00D171B3"/>
    <w:rsid w:val="00D210DE"/>
    <w:rsid w:val="00D221CB"/>
    <w:rsid w:val="00D24831"/>
    <w:rsid w:val="00D24E68"/>
    <w:rsid w:val="00D262B6"/>
    <w:rsid w:val="00D3030B"/>
    <w:rsid w:val="00D30C09"/>
    <w:rsid w:val="00D31213"/>
    <w:rsid w:val="00D31704"/>
    <w:rsid w:val="00D330B0"/>
    <w:rsid w:val="00D3399C"/>
    <w:rsid w:val="00D33FED"/>
    <w:rsid w:val="00D34909"/>
    <w:rsid w:val="00D3582D"/>
    <w:rsid w:val="00D3599D"/>
    <w:rsid w:val="00D41BD0"/>
    <w:rsid w:val="00D4278B"/>
    <w:rsid w:val="00D4398F"/>
    <w:rsid w:val="00D450C7"/>
    <w:rsid w:val="00D458A1"/>
    <w:rsid w:val="00D45A25"/>
    <w:rsid w:val="00D45EA8"/>
    <w:rsid w:val="00D46403"/>
    <w:rsid w:val="00D4789C"/>
    <w:rsid w:val="00D50420"/>
    <w:rsid w:val="00D50EC7"/>
    <w:rsid w:val="00D52284"/>
    <w:rsid w:val="00D52499"/>
    <w:rsid w:val="00D53678"/>
    <w:rsid w:val="00D54058"/>
    <w:rsid w:val="00D54B42"/>
    <w:rsid w:val="00D556A3"/>
    <w:rsid w:val="00D558C1"/>
    <w:rsid w:val="00D55EBE"/>
    <w:rsid w:val="00D56006"/>
    <w:rsid w:val="00D56281"/>
    <w:rsid w:val="00D56D7F"/>
    <w:rsid w:val="00D570D3"/>
    <w:rsid w:val="00D633D7"/>
    <w:rsid w:val="00D64B5D"/>
    <w:rsid w:val="00D65836"/>
    <w:rsid w:val="00D67365"/>
    <w:rsid w:val="00D7013B"/>
    <w:rsid w:val="00D701D4"/>
    <w:rsid w:val="00D724E6"/>
    <w:rsid w:val="00D7250E"/>
    <w:rsid w:val="00D73E35"/>
    <w:rsid w:val="00D74410"/>
    <w:rsid w:val="00D74CA4"/>
    <w:rsid w:val="00D804AF"/>
    <w:rsid w:val="00D80E36"/>
    <w:rsid w:val="00D80FDA"/>
    <w:rsid w:val="00D8214A"/>
    <w:rsid w:val="00D82207"/>
    <w:rsid w:val="00D858E1"/>
    <w:rsid w:val="00D86CE6"/>
    <w:rsid w:val="00D9003E"/>
    <w:rsid w:val="00D903DE"/>
    <w:rsid w:val="00D90918"/>
    <w:rsid w:val="00D914C2"/>
    <w:rsid w:val="00D92B2F"/>
    <w:rsid w:val="00D93668"/>
    <w:rsid w:val="00D95373"/>
    <w:rsid w:val="00D95DB7"/>
    <w:rsid w:val="00D96505"/>
    <w:rsid w:val="00DA0124"/>
    <w:rsid w:val="00DA1339"/>
    <w:rsid w:val="00DA1490"/>
    <w:rsid w:val="00DA53CC"/>
    <w:rsid w:val="00DA5682"/>
    <w:rsid w:val="00DA7E76"/>
    <w:rsid w:val="00DB11D9"/>
    <w:rsid w:val="00DB1FC3"/>
    <w:rsid w:val="00DB2A2E"/>
    <w:rsid w:val="00DB391A"/>
    <w:rsid w:val="00DB46A9"/>
    <w:rsid w:val="00DB5048"/>
    <w:rsid w:val="00DB59B5"/>
    <w:rsid w:val="00DB6E98"/>
    <w:rsid w:val="00DB7A72"/>
    <w:rsid w:val="00DC01DA"/>
    <w:rsid w:val="00DC0793"/>
    <w:rsid w:val="00DC1E38"/>
    <w:rsid w:val="00DC2C18"/>
    <w:rsid w:val="00DC3C2E"/>
    <w:rsid w:val="00DC66F7"/>
    <w:rsid w:val="00DC6B00"/>
    <w:rsid w:val="00DC6B15"/>
    <w:rsid w:val="00DC6BEF"/>
    <w:rsid w:val="00DC6DEB"/>
    <w:rsid w:val="00DC75E7"/>
    <w:rsid w:val="00DC7A91"/>
    <w:rsid w:val="00DD0056"/>
    <w:rsid w:val="00DD02DA"/>
    <w:rsid w:val="00DD1EB7"/>
    <w:rsid w:val="00DD4B76"/>
    <w:rsid w:val="00DD513E"/>
    <w:rsid w:val="00DD5552"/>
    <w:rsid w:val="00DE0081"/>
    <w:rsid w:val="00DE040E"/>
    <w:rsid w:val="00DE242F"/>
    <w:rsid w:val="00DE7EAC"/>
    <w:rsid w:val="00DF256F"/>
    <w:rsid w:val="00DF2736"/>
    <w:rsid w:val="00DF275D"/>
    <w:rsid w:val="00DF4AAA"/>
    <w:rsid w:val="00DF5604"/>
    <w:rsid w:val="00DF729A"/>
    <w:rsid w:val="00E003C8"/>
    <w:rsid w:val="00E0045A"/>
    <w:rsid w:val="00E00559"/>
    <w:rsid w:val="00E01AAD"/>
    <w:rsid w:val="00E02E5A"/>
    <w:rsid w:val="00E04711"/>
    <w:rsid w:val="00E05008"/>
    <w:rsid w:val="00E05798"/>
    <w:rsid w:val="00E05D2A"/>
    <w:rsid w:val="00E05D4F"/>
    <w:rsid w:val="00E111B5"/>
    <w:rsid w:val="00E119BE"/>
    <w:rsid w:val="00E11EBE"/>
    <w:rsid w:val="00E12330"/>
    <w:rsid w:val="00E123C1"/>
    <w:rsid w:val="00E14B0B"/>
    <w:rsid w:val="00E1559A"/>
    <w:rsid w:val="00E15DDB"/>
    <w:rsid w:val="00E15E1C"/>
    <w:rsid w:val="00E16135"/>
    <w:rsid w:val="00E212FB"/>
    <w:rsid w:val="00E215DF"/>
    <w:rsid w:val="00E21650"/>
    <w:rsid w:val="00E2381E"/>
    <w:rsid w:val="00E24C5B"/>
    <w:rsid w:val="00E255AA"/>
    <w:rsid w:val="00E25A8E"/>
    <w:rsid w:val="00E3207B"/>
    <w:rsid w:val="00E32B12"/>
    <w:rsid w:val="00E33A04"/>
    <w:rsid w:val="00E34B60"/>
    <w:rsid w:val="00E35368"/>
    <w:rsid w:val="00E35794"/>
    <w:rsid w:val="00E36191"/>
    <w:rsid w:val="00E36E7B"/>
    <w:rsid w:val="00E37852"/>
    <w:rsid w:val="00E40547"/>
    <w:rsid w:val="00E41681"/>
    <w:rsid w:val="00E4389F"/>
    <w:rsid w:val="00E4432E"/>
    <w:rsid w:val="00E474A7"/>
    <w:rsid w:val="00E516B0"/>
    <w:rsid w:val="00E51A2E"/>
    <w:rsid w:val="00E52851"/>
    <w:rsid w:val="00E5398F"/>
    <w:rsid w:val="00E539DF"/>
    <w:rsid w:val="00E55E34"/>
    <w:rsid w:val="00E62821"/>
    <w:rsid w:val="00E62A9A"/>
    <w:rsid w:val="00E62B17"/>
    <w:rsid w:val="00E62CFE"/>
    <w:rsid w:val="00E62F12"/>
    <w:rsid w:val="00E64CB0"/>
    <w:rsid w:val="00E65680"/>
    <w:rsid w:val="00E66BCF"/>
    <w:rsid w:val="00E703B2"/>
    <w:rsid w:val="00E72CEB"/>
    <w:rsid w:val="00E73657"/>
    <w:rsid w:val="00E7421E"/>
    <w:rsid w:val="00E7423F"/>
    <w:rsid w:val="00E74EA5"/>
    <w:rsid w:val="00E7598B"/>
    <w:rsid w:val="00E76998"/>
    <w:rsid w:val="00E769FB"/>
    <w:rsid w:val="00E76DA3"/>
    <w:rsid w:val="00E773E4"/>
    <w:rsid w:val="00E803A7"/>
    <w:rsid w:val="00E81369"/>
    <w:rsid w:val="00E83A50"/>
    <w:rsid w:val="00E83ED1"/>
    <w:rsid w:val="00E85A5C"/>
    <w:rsid w:val="00E92A70"/>
    <w:rsid w:val="00E95943"/>
    <w:rsid w:val="00E96E0A"/>
    <w:rsid w:val="00E97206"/>
    <w:rsid w:val="00E97D9A"/>
    <w:rsid w:val="00EA0EA2"/>
    <w:rsid w:val="00EA2F87"/>
    <w:rsid w:val="00EA4686"/>
    <w:rsid w:val="00EA4DE2"/>
    <w:rsid w:val="00EA68DC"/>
    <w:rsid w:val="00EA7EAA"/>
    <w:rsid w:val="00EB0252"/>
    <w:rsid w:val="00EB042D"/>
    <w:rsid w:val="00EB05C2"/>
    <w:rsid w:val="00EB42E7"/>
    <w:rsid w:val="00EB44F7"/>
    <w:rsid w:val="00EB4C50"/>
    <w:rsid w:val="00EB7C4F"/>
    <w:rsid w:val="00EC2426"/>
    <w:rsid w:val="00EC2FD3"/>
    <w:rsid w:val="00EC324C"/>
    <w:rsid w:val="00EC385E"/>
    <w:rsid w:val="00EC4375"/>
    <w:rsid w:val="00EC5D58"/>
    <w:rsid w:val="00EC6622"/>
    <w:rsid w:val="00ED0376"/>
    <w:rsid w:val="00ED1595"/>
    <w:rsid w:val="00ED1823"/>
    <w:rsid w:val="00ED1B83"/>
    <w:rsid w:val="00ED3242"/>
    <w:rsid w:val="00ED5362"/>
    <w:rsid w:val="00ED6461"/>
    <w:rsid w:val="00ED66A1"/>
    <w:rsid w:val="00ED6A53"/>
    <w:rsid w:val="00EE00AB"/>
    <w:rsid w:val="00EE2082"/>
    <w:rsid w:val="00EE3B15"/>
    <w:rsid w:val="00EE4D9D"/>
    <w:rsid w:val="00EE744D"/>
    <w:rsid w:val="00EE798B"/>
    <w:rsid w:val="00EF33D5"/>
    <w:rsid w:val="00EF4412"/>
    <w:rsid w:val="00EF62D7"/>
    <w:rsid w:val="00EF6391"/>
    <w:rsid w:val="00EF6CC7"/>
    <w:rsid w:val="00F01D9C"/>
    <w:rsid w:val="00F0279B"/>
    <w:rsid w:val="00F0287B"/>
    <w:rsid w:val="00F02E81"/>
    <w:rsid w:val="00F030F9"/>
    <w:rsid w:val="00F036C0"/>
    <w:rsid w:val="00F038E7"/>
    <w:rsid w:val="00F0637C"/>
    <w:rsid w:val="00F0722D"/>
    <w:rsid w:val="00F07999"/>
    <w:rsid w:val="00F11485"/>
    <w:rsid w:val="00F11EC1"/>
    <w:rsid w:val="00F128D1"/>
    <w:rsid w:val="00F12B8E"/>
    <w:rsid w:val="00F12E0F"/>
    <w:rsid w:val="00F130DA"/>
    <w:rsid w:val="00F135F1"/>
    <w:rsid w:val="00F13BA3"/>
    <w:rsid w:val="00F14FBE"/>
    <w:rsid w:val="00F153E0"/>
    <w:rsid w:val="00F20B4E"/>
    <w:rsid w:val="00F2192E"/>
    <w:rsid w:val="00F22E10"/>
    <w:rsid w:val="00F2613F"/>
    <w:rsid w:val="00F27087"/>
    <w:rsid w:val="00F277E8"/>
    <w:rsid w:val="00F30F4C"/>
    <w:rsid w:val="00F323C6"/>
    <w:rsid w:val="00F329C7"/>
    <w:rsid w:val="00F3372F"/>
    <w:rsid w:val="00F34069"/>
    <w:rsid w:val="00F348FE"/>
    <w:rsid w:val="00F34B91"/>
    <w:rsid w:val="00F36162"/>
    <w:rsid w:val="00F36475"/>
    <w:rsid w:val="00F37320"/>
    <w:rsid w:val="00F37489"/>
    <w:rsid w:val="00F37501"/>
    <w:rsid w:val="00F3795F"/>
    <w:rsid w:val="00F418FF"/>
    <w:rsid w:val="00F41A27"/>
    <w:rsid w:val="00F41F7B"/>
    <w:rsid w:val="00F4206E"/>
    <w:rsid w:val="00F422EA"/>
    <w:rsid w:val="00F42948"/>
    <w:rsid w:val="00F42B9F"/>
    <w:rsid w:val="00F43B00"/>
    <w:rsid w:val="00F43BF7"/>
    <w:rsid w:val="00F44DAB"/>
    <w:rsid w:val="00F457CF"/>
    <w:rsid w:val="00F45FFF"/>
    <w:rsid w:val="00F46F3B"/>
    <w:rsid w:val="00F4719B"/>
    <w:rsid w:val="00F50832"/>
    <w:rsid w:val="00F52394"/>
    <w:rsid w:val="00F53057"/>
    <w:rsid w:val="00F53F4C"/>
    <w:rsid w:val="00F54990"/>
    <w:rsid w:val="00F54E38"/>
    <w:rsid w:val="00F555BA"/>
    <w:rsid w:val="00F55EC8"/>
    <w:rsid w:val="00F6157B"/>
    <w:rsid w:val="00F61F5C"/>
    <w:rsid w:val="00F62183"/>
    <w:rsid w:val="00F6367E"/>
    <w:rsid w:val="00F6498A"/>
    <w:rsid w:val="00F6650A"/>
    <w:rsid w:val="00F66563"/>
    <w:rsid w:val="00F66F01"/>
    <w:rsid w:val="00F71038"/>
    <w:rsid w:val="00F72658"/>
    <w:rsid w:val="00F7281D"/>
    <w:rsid w:val="00F72D38"/>
    <w:rsid w:val="00F740BD"/>
    <w:rsid w:val="00F74555"/>
    <w:rsid w:val="00F75248"/>
    <w:rsid w:val="00F756BF"/>
    <w:rsid w:val="00F75EDC"/>
    <w:rsid w:val="00F7617B"/>
    <w:rsid w:val="00F76A32"/>
    <w:rsid w:val="00F776F6"/>
    <w:rsid w:val="00F8158E"/>
    <w:rsid w:val="00F816C2"/>
    <w:rsid w:val="00F8230C"/>
    <w:rsid w:val="00F825F9"/>
    <w:rsid w:val="00F82B10"/>
    <w:rsid w:val="00F82E28"/>
    <w:rsid w:val="00F830CC"/>
    <w:rsid w:val="00F83154"/>
    <w:rsid w:val="00F83F23"/>
    <w:rsid w:val="00F87B68"/>
    <w:rsid w:val="00F90272"/>
    <w:rsid w:val="00F90E4F"/>
    <w:rsid w:val="00F931EC"/>
    <w:rsid w:val="00F9431F"/>
    <w:rsid w:val="00F94774"/>
    <w:rsid w:val="00F94C37"/>
    <w:rsid w:val="00FA012A"/>
    <w:rsid w:val="00FA09CD"/>
    <w:rsid w:val="00FA19B3"/>
    <w:rsid w:val="00FA2209"/>
    <w:rsid w:val="00FA23CC"/>
    <w:rsid w:val="00FA509E"/>
    <w:rsid w:val="00FA69CA"/>
    <w:rsid w:val="00FA74D7"/>
    <w:rsid w:val="00FA78CC"/>
    <w:rsid w:val="00FB0203"/>
    <w:rsid w:val="00FB0BB4"/>
    <w:rsid w:val="00FB2414"/>
    <w:rsid w:val="00FB245A"/>
    <w:rsid w:val="00FB2F91"/>
    <w:rsid w:val="00FB3B9C"/>
    <w:rsid w:val="00FB424F"/>
    <w:rsid w:val="00FB4433"/>
    <w:rsid w:val="00FB4530"/>
    <w:rsid w:val="00FB5356"/>
    <w:rsid w:val="00FB70CD"/>
    <w:rsid w:val="00FC14EE"/>
    <w:rsid w:val="00FC37BA"/>
    <w:rsid w:val="00FC4F43"/>
    <w:rsid w:val="00FC6A22"/>
    <w:rsid w:val="00FC7A83"/>
    <w:rsid w:val="00FC7E85"/>
    <w:rsid w:val="00FD0C0E"/>
    <w:rsid w:val="00FD2BD1"/>
    <w:rsid w:val="00FD399E"/>
    <w:rsid w:val="00FD58DC"/>
    <w:rsid w:val="00FD71C4"/>
    <w:rsid w:val="00FD7F6E"/>
    <w:rsid w:val="00FE1310"/>
    <w:rsid w:val="00FE1552"/>
    <w:rsid w:val="00FE1C5F"/>
    <w:rsid w:val="00FE2FD9"/>
    <w:rsid w:val="00FE4CFB"/>
    <w:rsid w:val="00FE5EEC"/>
    <w:rsid w:val="00FE63DD"/>
    <w:rsid w:val="00FE6834"/>
    <w:rsid w:val="00FE6C3F"/>
    <w:rsid w:val="00FF15EF"/>
    <w:rsid w:val="00FF1B31"/>
    <w:rsid w:val="00FF4888"/>
    <w:rsid w:val="00FF6455"/>
    <w:rsid w:val="00FF6827"/>
    <w:rsid w:val="00FF74F5"/>
    <w:rsid w:val="01376683"/>
    <w:rsid w:val="01551126"/>
    <w:rsid w:val="01B54F59"/>
    <w:rsid w:val="01C427CA"/>
    <w:rsid w:val="04532D78"/>
    <w:rsid w:val="04853A2E"/>
    <w:rsid w:val="04D22EF4"/>
    <w:rsid w:val="04DB5B15"/>
    <w:rsid w:val="0522671C"/>
    <w:rsid w:val="053153BB"/>
    <w:rsid w:val="05707711"/>
    <w:rsid w:val="06BB5705"/>
    <w:rsid w:val="07704093"/>
    <w:rsid w:val="07B26CB0"/>
    <w:rsid w:val="07B46C8C"/>
    <w:rsid w:val="07C46900"/>
    <w:rsid w:val="08257ABE"/>
    <w:rsid w:val="09842160"/>
    <w:rsid w:val="098703E1"/>
    <w:rsid w:val="099451E6"/>
    <w:rsid w:val="09BD310C"/>
    <w:rsid w:val="09EB48F8"/>
    <w:rsid w:val="0A873014"/>
    <w:rsid w:val="0AAE3BDF"/>
    <w:rsid w:val="0B6B70DD"/>
    <w:rsid w:val="0BC432D4"/>
    <w:rsid w:val="0C197A53"/>
    <w:rsid w:val="0E7B3127"/>
    <w:rsid w:val="0EBD427F"/>
    <w:rsid w:val="0F64618F"/>
    <w:rsid w:val="0F865B82"/>
    <w:rsid w:val="1005446E"/>
    <w:rsid w:val="10E10D33"/>
    <w:rsid w:val="122E5DFF"/>
    <w:rsid w:val="129C22D3"/>
    <w:rsid w:val="12FD2A3C"/>
    <w:rsid w:val="131E192E"/>
    <w:rsid w:val="13557E6F"/>
    <w:rsid w:val="135C1A78"/>
    <w:rsid w:val="139E6100"/>
    <w:rsid w:val="13FF24F3"/>
    <w:rsid w:val="144D365F"/>
    <w:rsid w:val="147D5B76"/>
    <w:rsid w:val="14D93653"/>
    <w:rsid w:val="14DF6D0D"/>
    <w:rsid w:val="151027D9"/>
    <w:rsid w:val="173419A5"/>
    <w:rsid w:val="1735615E"/>
    <w:rsid w:val="179B33E4"/>
    <w:rsid w:val="17B56D40"/>
    <w:rsid w:val="18483F57"/>
    <w:rsid w:val="19C56005"/>
    <w:rsid w:val="1A0C439F"/>
    <w:rsid w:val="1AC006AC"/>
    <w:rsid w:val="1ADD05D3"/>
    <w:rsid w:val="1B162C93"/>
    <w:rsid w:val="1BC705CF"/>
    <w:rsid w:val="1DF15EF2"/>
    <w:rsid w:val="1DF26EC0"/>
    <w:rsid w:val="1F8F2194"/>
    <w:rsid w:val="20651E67"/>
    <w:rsid w:val="218B552A"/>
    <w:rsid w:val="21BB40BD"/>
    <w:rsid w:val="222A56AE"/>
    <w:rsid w:val="22714843"/>
    <w:rsid w:val="22B54008"/>
    <w:rsid w:val="22F7710B"/>
    <w:rsid w:val="232D40C3"/>
    <w:rsid w:val="23B45AD6"/>
    <w:rsid w:val="245B5461"/>
    <w:rsid w:val="252C1AF7"/>
    <w:rsid w:val="25537949"/>
    <w:rsid w:val="2662058C"/>
    <w:rsid w:val="266919D9"/>
    <w:rsid w:val="275A425A"/>
    <w:rsid w:val="278E4D35"/>
    <w:rsid w:val="280F78A4"/>
    <w:rsid w:val="281E1DD8"/>
    <w:rsid w:val="290D3DA9"/>
    <w:rsid w:val="29401382"/>
    <w:rsid w:val="2974499F"/>
    <w:rsid w:val="2A6A2F6F"/>
    <w:rsid w:val="2B8522DF"/>
    <w:rsid w:val="2BDB599E"/>
    <w:rsid w:val="2BDF3308"/>
    <w:rsid w:val="2CC4120F"/>
    <w:rsid w:val="2DED2BB9"/>
    <w:rsid w:val="2F042EE4"/>
    <w:rsid w:val="2F2C6D71"/>
    <w:rsid w:val="2FD9223F"/>
    <w:rsid w:val="30B57186"/>
    <w:rsid w:val="31B20C77"/>
    <w:rsid w:val="31C0608D"/>
    <w:rsid w:val="31DC05D9"/>
    <w:rsid w:val="32A64214"/>
    <w:rsid w:val="34705C12"/>
    <w:rsid w:val="34845992"/>
    <w:rsid w:val="361129CD"/>
    <w:rsid w:val="3673164B"/>
    <w:rsid w:val="374A72A8"/>
    <w:rsid w:val="387D3609"/>
    <w:rsid w:val="390D7EAD"/>
    <w:rsid w:val="397F3E3A"/>
    <w:rsid w:val="39926B81"/>
    <w:rsid w:val="3A184C0F"/>
    <w:rsid w:val="3A1A4971"/>
    <w:rsid w:val="3A2A3958"/>
    <w:rsid w:val="3AC26874"/>
    <w:rsid w:val="3B167A7E"/>
    <w:rsid w:val="3B290A84"/>
    <w:rsid w:val="3B863351"/>
    <w:rsid w:val="3BA54946"/>
    <w:rsid w:val="3BF42212"/>
    <w:rsid w:val="3C6D7C2B"/>
    <w:rsid w:val="3C93568A"/>
    <w:rsid w:val="3C9531F9"/>
    <w:rsid w:val="3CAF57A9"/>
    <w:rsid w:val="3CC82BEE"/>
    <w:rsid w:val="3D07089B"/>
    <w:rsid w:val="3D47259C"/>
    <w:rsid w:val="3D6137DA"/>
    <w:rsid w:val="3DD0143F"/>
    <w:rsid w:val="3E41178E"/>
    <w:rsid w:val="3EA60BA5"/>
    <w:rsid w:val="3F351DB6"/>
    <w:rsid w:val="3FCB094F"/>
    <w:rsid w:val="409742B5"/>
    <w:rsid w:val="41277C0D"/>
    <w:rsid w:val="41733D7E"/>
    <w:rsid w:val="41B300BC"/>
    <w:rsid w:val="41F533C3"/>
    <w:rsid w:val="421F3E9D"/>
    <w:rsid w:val="4302513D"/>
    <w:rsid w:val="43324AD6"/>
    <w:rsid w:val="438F5499"/>
    <w:rsid w:val="44742C75"/>
    <w:rsid w:val="4523303A"/>
    <w:rsid w:val="46312387"/>
    <w:rsid w:val="46357C1B"/>
    <w:rsid w:val="46AE5C0E"/>
    <w:rsid w:val="475B59E7"/>
    <w:rsid w:val="481E4A20"/>
    <w:rsid w:val="491E2A7E"/>
    <w:rsid w:val="494A2362"/>
    <w:rsid w:val="49756512"/>
    <w:rsid w:val="4A7E61C8"/>
    <w:rsid w:val="4A8D345A"/>
    <w:rsid w:val="4ABC26AF"/>
    <w:rsid w:val="4B04133D"/>
    <w:rsid w:val="4B133EF5"/>
    <w:rsid w:val="4C41419A"/>
    <w:rsid w:val="4C821FCC"/>
    <w:rsid w:val="4CFE0323"/>
    <w:rsid w:val="4EA00265"/>
    <w:rsid w:val="4FB542D4"/>
    <w:rsid w:val="50780EB4"/>
    <w:rsid w:val="50AE5F28"/>
    <w:rsid w:val="50B64461"/>
    <w:rsid w:val="50B95214"/>
    <w:rsid w:val="50C56796"/>
    <w:rsid w:val="5120587C"/>
    <w:rsid w:val="512451D5"/>
    <w:rsid w:val="51661036"/>
    <w:rsid w:val="527A1F54"/>
    <w:rsid w:val="544809CD"/>
    <w:rsid w:val="55352F39"/>
    <w:rsid w:val="55B6183E"/>
    <w:rsid w:val="56E14AF5"/>
    <w:rsid w:val="5762187D"/>
    <w:rsid w:val="57887E6E"/>
    <w:rsid w:val="58FB158D"/>
    <w:rsid w:val="595C5E73"/>
    <w:rsid w:val="5AAD3F24"/>
    <w:rsid w:val="5AD5662D"/>
    <w:rsid w:val="5AE4169D"/>
    <w:rsid w:val="5AF61C9D"/>
    <w:rsid w:val="5B082F1B"/>
    <w:rsid w:val="5B1D1386"/>
    <w:rsid w:val="5B554A58"/>
    <w:rsid w:val="5B5E3C26"/>
    <w:rsid w:val="5B603739"/>
    <w:rsid w:val="5B764C84"/>
    <w:rsid w:val="5D2C1F48"/>
    <w:rsid w:val="5D9D00EB"/>
    <w:rsid w:val="5DC553C3"/>
    <w:rsid w:val="5DD500FC"/>
    <w:rsid w:val="5E015742"/>
    <w:rsid w:val="5E0368A3"/>
    <w:rsid w:val="5FC30481"/>
    <w:rsid w:val="61230C65"/>
    <w:rsid w:val="617C6588"/>
    <w:rsid w:val="6187183E"/>
    <w:rsid w:val="61C0625C"/>
    <w:rsid w:val="625D7803"/>
    <w:rsid w:val="62D0366A"/>
    <w:rsid w:val="633F0304"/>
    <w:rsid w:val="63547EE1"/>
    <w:rsid w:val="64581E80"/>
    <w:rsid w:val="65552020"/>
    <w:rsid w:val="6623141A"/>
    <w:rsid w:val="66B76A13"/>
    <w:rsid w:val="68050D53"/>
    <w:rsid w:val="682A0308"/>
    <w:rsid w:val="683409E5"/>
    <w:rsid w:val="69700A56"/>
    <w:rsid w:val="69925876"/>
    <w:rsid w:val="6A7D5E18"/>
    <w:rsid w:val="6B1D43B6"/>
    <w:rsid w:val="6C533615"/>
    <w:rsid w:val="6C7A1658"/>
    <w:rsid w:val="6D3937BB"/>
    <w:rsid w:val="6D6606CD"/>
    <w:rsid w:val="6DE21653"/>
    <w:rsid w:val="6ECE30CD"/>
    <w:rsid w:val="6F676A38"/>
    <w:rsid w:val="716E6982"/>
    <w:rsid w:val="728C08B8"/>
    <w:rsid w:val="729C7EFB"/>
    <w:rsid w:val="72B514B5"/>
    <w:rsid w:val="72F60679"/>
    <w:rsid w:val="733E09B7"/>
    <w:rsid w:val="73850956"/>
    <w:rsid w:val="73FB315F"/>
    <w:rsid w:val="74B96F1A"/>
    <w:rsid w:val="75C271EE"/>
    <w:rsid w:val="760266EC"/>
    <w:rsid w:val="76D77FD4"/>
    <w:rsid w:val="77700600"/>
    <w:rsid w:val="77A25CBC"/>
    <w:rsid w:val="77BD62C4"/>
    <w:rsid w:val="783009E2"/>
    <w:rsid w:val="783569D1"/>
    <w:rsid w:val="78B10D4E"/>
    <w:rsid w:val="79115CF8"/>
    <w:rsid w:val="7916432D"/>
    <w:rsid w:val="7A680A92"/>
    <w:rsid w:val="7AF80B4A"/>
    <w:rsid w:val="7C8968C1"/>
    <w:rsid w:val="7D99109C"/>
    <w:rsid w:val="7DD544EA"/>
    <w:rsid w:val="7DE91413"/>
    <w:rsid w:val="7DF37963"/>
    <w:rsid w:val="7F790C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locked="1" w:uiPriority="0" w:unhideWhenUsed="1" w:qFormat="1"/>
    <w:lsdException w:name="heading 3" w:semiHidden="0" w:qFormat="1"/>
    <w:lsdException w:name="heading 4" w:semiHidden="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unhideWhenUsed="1"/>
    <w:lsdException w:name="footnote text" w:uiPriority="0" w:qFormat="1"/>
    <w:lsdException w:name="annotation text" w:semiHidden="0" w:qFormat="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iPriority="0" w:qFormat="1"/>
    <w:lsdException w:name="annotation reference" w:semiHidden="0" w:qFormat="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10" w:qFormat="1"/>
    <w:lsdException w:name="Closing" w:unhideWhenUsed="1"/>
    <w:lsdException w:name="Signature" w:unhideWhenUsed="1"/>
    <w:lsdException w:name="Default Paragraph Font" w:uiPriority="1" w:unhideWhenUsed="1" w:qFormat="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unhideWhenUsed="1"/>
    <w:lsdException w:name="Strong" w:locked="1" w:semiHidden="0" w:uiPriority="0" w:qFormat="1"/>
    <w:lsdException w:name="Emphasis" w:locked="1" w:semiHidden="0" w:uiPriority="20" w:qFormat="1"/>
    <w:lsdException w:name="Document Map" w:semiHidden="0" w:qFormat="1"/>
    <w:lsdException w:name="Plain Text" w:semiHidden="0" w:qFormat="1"/>
    <w:lsdException w:name="E-mail Signature" w:unhideWhenUsed="1"/>
    <w:lsdException w:name="HTML Top of Form" w:unhideWhenUsed="1"/>
    <w:lsdException w:name="HTML Bottom of Form" w:unhideWhenUsed="1"/>
    <w:lsdException w:name="Normal (Web)" w:semiHidden="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semiHidden="0" w:qFormat="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34"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8" w:lineRule="auto"/>
      <w:outlineLvl w:val="0"/>
    </w:pPr>
    <w:rPr>
      <w:rFonts w:ascii="Calibri" w:hAnsi="Calibri"/>
      <w:b/>
      <w:kern w:val="44"/>
      <w:sz w:val="44"/>
      <w:szCs w:val="20"/>
    </w:rPr>
  </w:style>
  <w:style w:type="paragraph" w:styleId="3">
    <w:name w:val="heading 3"/>
    <w:basedOn w:val="a"/>
    <w:next w:val="a"/>
    <w:link w:val="3Char"/>
    <w:uiPriority w:val="99"/>
    <w:qFormat/>
    <w:pPr>
      <w:keepNext/>
      <w:keepLines/>
      <w:spacing w:before="260" w:after="260" w:line="416" w:lineRule="auto"/>
      <w:outlineLvl w:val="2"/>
    </w:pPr>
    <w:rPr>
      <w:rFonts w:ascii="Calibri" w:hAnsi="Calibri"/>
      <w:b/>
      <w:sz w:val="32"/>
      <w:szCs w:val="20"/>
    </w:rPr>
  </w:style>
  <w:style w:type="paragraph" w:styleId="4">
    <w:name w:val="heading 4"/>
    <w:basedOn w:val="a"/>
    <w:next w:val="a"/>
    <w:link w:val="4Char"/>
    <w:uiPriority w:val="99"/>
    <w:qFormat/>
    <w:pPr>
      <w:keepNext/>
      <w:keepLines/>
      <w:spacing w:before="280" w:after="290" w:line="376" w:lineRule="auto"/>
      <w:outlineLvl w:val="3"/>
    </w:pPr>
    <w:rPr>
      <w:rFonts w:ascii="Cambria" w:hAnsi="Cambria"/>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99"/>
    <w:qFormat/>
    <w:pPr>
      <w:ind w:left="1260"/>
      <w:jc w:val="left"/>
    </w:pPr>
    <w:rPr>
      <w:rFonts w:ascii="Calibri" w:hAnsi="Calibri"/>
      <w:sz w:val="18"/>
      <w:szCs w:val="18"/>
    </w:rPr>
  </w:style>
  <w:style w:type="paragraph" w:styleId="a3">
    <w:name w:val="Document Map"/>
    <w:basedOn w:val="a"/>
    <w:link w:val="Char"/>
    <w:uiPriority w:val="99"/>
    <w:qFormat/>
    <w:rPr>
      <w:rFonts w:ascii="宋体"/>
      <w:sz w:val="18"/>
      <w:szCs w:val="20"/>
    </w:rPr>
  </w:style>
  <w:style w:type="paragraph" w:styleId="a4">
    <w:name w:val="annotation text"/>
    <w:basedOn w:val="a"/>
    <w:link w:val="Char0"/>
    <w:uiPriority w:val="99"/>
    <w:qFormat/>
    <w:pPr>
      <w:jc w:val="left"/>
    </w:pPr>
    <w:rPr>
      <w:sz w:val="24"/>
      <w:szCs w:val="20"/>
    </w:rPr>
  </w:style>
  <w:style w:type="paragraph" w:styleId="a5">
    <w:name w:val="Body Text"/>
    <w:basedOn w:val="a"/>
    <w:link w:val="Char1"/>
    <w:uiPriority w:val="99"/>
    <w:qFormat/>
    <w:rPr>
      <w:kern w:val="0"/>
      <w:sz w:val="24"/>
    </w:rPr>
  </w:style>
  <w:style w:type="paragraph" w:styleId="5">
    <w:name w:val="toc 5"/>
    <w:basedOn w:val="a"/>
    <w:next w:val="a"/>
    <w:uiPriority w:val="99"/>
    <w:qFormat/>
    <w:pPr>
      <w:ind w:left="840"/>
      <w:jc w:val="left"/>
    </w:pPr>
    <w:rPr>
      <w:rFonts w:ascii="Calibri" w:hAnsi="Calibri"/>
      <w:sz w:val="18"/>
      <w:szCs w:val="18"/>
    </w:rPr>
  </w:style>
  <w:style w:type="paragraph" w:styleId="30">
    <w:name w:val="toc 3"/>
    <w:basedOn w:val="a"/>
    <w:next w:val="a"/>
    <w:uiPriority w:val="99"/>
    <w:qFormat/>
    <w:pPr>
      <w:ind w:left="420"/>
      <w:jc w:val="left"/>
    </w:pPr>
    <w:rPr>
      <w:rFonts w:ascii="Calibri" w:hAnsi="Calibri"/>
      <w:i/>
      <w:iCs/>
      <w:sz w:val="20"/>
      <w:szCs w:val="20"/>
    </w:rPr>
  </w:style>
  <w:style w:type="paragraph" w:styleId="a6">
    <w:name w:val="Plain Text"/>
    <w:basedOn w:val="a"/>
    <w:link w:val="Char2"/>
    <w:uiPriority w:val="99"/>
    <w:qFormat/>
    <w:rPr>
      <w:rFonts w:ascii="宋体" w:hAnsi="Courier New"/>
      <w:kern w:val="0"/>
      <w:szCs w:val="21"/>
    </w:rPr>
  </w:style>
  <w:style w:type="paragraph" w:styleId="8">
    <w:name w:val="toc 8"/>
    <w:basedOn w:val="a"/>
    <w:next w:val="a"/>
    <w:uiPriority w:val="99"/>
    <w:qFormat/>
    <w:pPr>
      <w:ind w:left="1470"/>
      <w:jc w:val="left"/>
    </w:pPr>
    <w:rPr>
      <w:rFonts w:ascii="Calibri" w:hAnsi="Calibri"/>
      <w:sz w:val="18"/>
      <w:szCs w:val="18"/>
    </w:rPr>
  </w:style>
  <w:style w:type="paragraph" w:styleId="a7">
    <w:name w:val="Date"/>
    <w:basedOn w:val="a"/>
    <w:next w:val="a"/>
    <w:link w:val="Char3"/>
    <w:uiPriority w:val="99"/>
    <w:semiHidden/>
    <w:unhideWhenUsed/>
    <w:qFormat/>
    <w:pPr>
      <w:ind w:leftChars="2500" w:left="100"/>
    </w:pPr>
  </w:style>
  <w:style w:type="paragraph" w:styleId="a8">
    <w:name w:val="Balloon Text"/>
    <w:basedOn w:val="a"/>
    <w:link w:val="Char4"/>
    <w:uiPriority w:val="99"/>
    <w:semiHidden/>
    <w:qFormat/>
    <w:rPr>
      <w:kern w:val="0"/>
      <w:sz w:val="2"/>
      <w:szCs w:val="20"/>
    </w:rPr>
  </w:style>
  <w:style w:type="paragraph" w:styleId="a9">
    <w:name w:val="footer"/>
    <w:basedOn w:val="a"/>
    <w:link w:val="Char5"/>
    <w:uiPriority w:val="99"/>
    <w:qFormat/>
    <w:pPr>
      <w:tabs>
        <w:tab w:val="center" w:pos="4153"/>
        <w:tab w:val="right" w:pos="8306"/>
      </w:tabs>
      <w:snapToGrid w:val="0"/>
      <w:jc w:val="left"/>
    </w:pPr>
    <w:rPr>
      <w:kern w:val="0"/>
      <w:sz w:val="18"/>
      <w:szCs w:val="18"/>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99"/>
    <w:qFormat/>
    <w:pPr>
      <w:spacing w:before="120" w:after="120"/>
      <w:jc w:val="left"/>
    </w:pPr>
    <w:rPr>
      <w:rFonts w:ascii="Calibri" w:hAnsi="Calibri"/>
      <w:b/>
      <w:bCs/>
      <w:caps/>
      <w:sz w:val="20"/>
      <w:szCs w:val="20"/>
    </w:rPr>
  </w:style>
  <w:style w:type="paragraph" w:styleId="40">
    <w:name w:val="toc 4"/>
    <w:basedOn w:val="a"/>
    <w:next w:val="a"/>
    <w:uiPriority w:val="99"/>
    <w:qFormat/>
    <w:pPr>
      <w:ind w:left="630"/>
      <w:jc w:val="left"/>
    </w:pPr>
    <w:rPr>
      <w:rFonts w:ascii="Calibri" w:hAnsi="Calibri"/>
      <w:sz w:val="18"/>
      <w:szCs w:val="18"/>
    </w:rPr>
  </w:style>
  <w:style w:type="paragraph" w:styleId="ab">
    <w:name w:val="footnote text"/>
    <w:basedOn w:val="a"/>
    <w:link w:val="Char7"/>
    <w:semiHidden/>
    <w:qFormat/>
    <w:pPr>
      <w:snapToGrid w:val="0"/>
      <w:jc w:val="left"/>
    </w:pPr>
    <w:rPr>
      <w:kern w:val="0"/>
      <w:sz w:val="18"/>
      <w:szCs w:val="18"/>
    </w:rPr>
  </w:style>
  <w:style w:type="paragraph" w:styleId="6">
    <w:name w:val="toc 6"/>
    <w:basedOn w:val="a"/>
    <w:next w:val="a"/>
    <w:uiPriority w:val="99"/>
    <w:qFormat/>
    <w:pPr>
      <w:ind w:left="1050"/>
      <w:jc w:val="left"/>
    </w:pPr>
    <w:rPr>
      <w:rFonts w:ascii="Calibri" w:hAnsi="Calibri"/>
      <w:sz w:val="18"/>
      <w:szCs w:val="18"/>
    </w:rPr>
  </w:style>
  <w:style w:type="paragraph" w:styleId="2">
    <w:name w:val="toc 2"/>
    <w:basedOn w:val="a"/>
    <w:next w:val="a"/>
    <w:uiPriority w:val="99"/>
    <w:qFormat/>
    <w:pPr>
      <w:ind w:left="210"/>
      <w:jc w:val="left"/>
    </w:pPr>
    <w:rPr>
      <w:rFonts w:ascii="Calibri" w:hAnsi="Calibri"/>
      <w:smallCaps/>
      <w:sz w:val="20"/>
      <w:szCs w:val="20"/>
    </w:rPr>
  </w:style>
  <w:style w:type="paragraph" w:styleId="9">
    <w:name w:val="toc 9"/>
    <w:basedOn w:val="a"/>
    <w:next w:val="a"/>
    <w:uiPriority w:val="99"/>
    <w:qFormat/>
    <w:pPr>
      <w:ind w:left="1680"/>
      <w:jc w:val="left"/>
    </w:pPr>
    <w:rPr>
      <w:rFonts w:ascii="Calibri" w:hAnsi="Calibri"/>
      <w:sz w:val="18"/>
      <w:szCs w:val="18"/>
    </w:rPr>
  </w:style>
  <w:style w:type="paragraph" w:styleId="ac">
    <w:name w:val="Normal (Web)"/>
    <w:basedOn w:val="a"/>
    <w:uiPriority w:val="99"/>
    <w:qFormat/>
    <w:pPr>
      <w:widowControl/>
      <w:spacing w:before="100" w:beforeAutospacing="1" w:after="100" w:afterAutospacing="1"/>
      <w:jc w:val="left"/>
    </w:pPr>
    <w:rPr>
      <w:kern w:val="0"/>
      <w:sz w:val="24"/>
      <w:lang w:val="en-GB" w:eastAsia="en-GB"/>
    </w:rPr>
  </w:style>
  <w:style w:type="paragraph" w:styleId="ad">
    <w:name w:val="Title"/>
    <w:basedOn w:val="a"/>
    <w:uiPriority w:val="10"/>
    <w:qFormat/>
    <w:locked/>
    <w:pPr>
      <w:tabs>
        <w:tab w:val="left" w:pos="851"/>
      </w:tabs>
      <w:spacing w:before="240" w:after="60"/>
      <w:jc w:val="center"/>
      <w:outlineLvl w:val="0"/>
    </w:pPr>
    <w:rPr>
      <w:b/>
      <w:sz w:val="32"/>
    </w:rPr>
  </w:style>
  <w:style w:type="paragraph" w:styleId="ae">
    <w:name w:val="annotation subject"/>
    <w:basedOn w:val="a4"/>
    <w:next w:val="a4"/>
    <w:link w:val="Char8"/>
    <w:uiPriority w:val="99"/>
    <w:qFormat/>
    <w:rPr>
      <w:b/>
    </w:rPr>
  </w:style>
  <w:style w:type="table" w:styleId="af">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basedOn w:val="a0"/>
    <w:uiPriority w:val="99"/>
    <w:qFormat/>
    <w:rPr>
      <w:rFonts w:cs="Times New Roman"/>
    </w:rPr>
  </w:style>
  <w:style w:type="character" w:styleId="af1">
    <w:name w:val="Emphasis"/>
    <w:basedOn w:val="a0"/>
    <w:uiPriority w:val="20"/>
    <w:qFormat/>
    <w:locked/>
    <w:rPr>
      <w:i/>
      <w:iCs/>
    </w:rPr>
  </w:style>
  <w:style w:type="character" w:styleId="af2">
    <w:name w:val="Hyperlink"/>
    <w:basedOn w:val="a0"/>
    <w:uiPriority w:val="99"/>
    <w:qFormat/>
    <w:rPr>
      <w:rFonts w:cs="Times New Roman"/>
      <w:color w:val="0000FF"/>
      <w:u w:val="single"/>
    </w:rPr>
  </w:style>
  <w:style w:type="character" w:styleId="af3">
    <w:name w:val="annotation reference"/>
    <w:basedOn w:val="a0"/>
    <w:uiPriority w:val="99"/>
    <w:qFormat/>
    <w:rPr>
      <w:rFonts w:cs="Times New Roman"/>
      <w:sz w:val="21"/>
    </w:rPr>
  </w:style>
  <w:style w:type="character" w:styleId="af4">
    <w:name w:val="footnote reference"/>
    <w:basedOn w:val="a0"/>
    <w:semiHidden/>
    <w:qFormat/>
    <w:rPr>
      <w:rFonts w:cs="Times New Roman"/>
      <w:vertAlign w:val="superscript"/>
    </w:rPr>
  </w:style>
  <w:style w:type="character" w:customStyle="1" w:styleId="1Char">
    <w:name w:val="标题 1 Char"/>
    <w:basedOn w:val="a0"/>
    <w:link w:val="1"/>
    <w:uiPriority w:val="99"/>
    <w:qFormat/>
    <w:locked/>
    <w:rPr>
      <w:rFonts w:ascii="Calibri" w:hAnsi="Calibri"/>
      <w:b/>
      <w:kern w:val="44"/>
      <w:sz w:val="44"/>
    </w:rPr>
  </w:style>
  <w:style w:type="character" w:customStyle="1" w:styleId="3Char">
    <w:name w:val="标题 3 Char"/>
    <w:basedOn w:val="a0"/>
    <w:link w:val="3"/>
    <w:uiPriority w:val="99"/>
    <w:qFormat/>
    <w:locked/>
    <w:rPr>
      <w:rFonts w:ascii="Calibri" w:hAnsi="Calibri"/>
      <w:b/>
      <w:kern w:val="2"/>
      <w:sz w:val="32"/>
    </w:rPr>
  </w:style>
  <w:style w:type="character" w:customStyle="1" w:styleId="4Char">
    <w:name w:val="标题 4 Char"/>
    <w:basedOn w:val="a0"/>
    <w:link w:val="4"/>
    <w:uiPriority w:val="99"/>
    <w:qFormat/>
    <w:locked/>
    <w:rPr>
      <w:rFonts w:ascii="Cambria" w:hAnsi="Cambria"/>
      <w:b/>
      <w:kern w:val="2"/>
      <w:sz w:val="28"/>
    </w:rPr>
  </w:style>
  <w:style w:type="character" w:customStyle="1" w:styleId="Char1">
    <w:name w:val="正文文本 Char"/>
    <w:basedOn w:val="a0"/>
    <w:link w:val="a5"/>
    <w:uiPriority w:val="99"/>
    <w:semiHidden/>
    <w:qFormat/>
    <w:locked/>
    <w:rPr>
      <w:sz w:val="24"/>
    </w:rPr>
  </w:style>
  <w:style w:type="character" w:customStyle="1" w:styleId="Char5">
    <w:name w:val="页脚 Char"/>
    <w:basedOn w:val="a0"/>
    <w:link w:val="a9"/>
    <w:uiPriority w:val="99"/>
    <w:qFormat/>
    <w:locked/>
    <w:rPr>
      <w:sz w:val="18"/>
    </w:rPr>
  </w:style>
  <w:style w:type="character" w:customStyle="1" w:styleId="Char4">
    <w:name w:val="批注框文本 Char"/>
    <w:basedOn w:val="a0"/>
    <w:link w:val="a8"/>
    <w:uiPriority w:val="99"/>
    <w:semiHidden/>
    <w:qFormat/>
    <w:locked/>
    <w:rPr>
      <w:sz w:val="2"/>
    </w:rPr>
  </w:style>
  <w:style w:type="character" w:customStyle="1" w:styleId="Char2">
    <w:name w:val="纯文本 Char"/>
    <w:basedOn w:val="a0"/>
    <w:link w:val="a6"/>
    <w:uiPriority w:val="99"/>
    <w:semiHidden/>
    <w:qFormat/>
    <w:locked/>
    <w:rPr>
      <w:rFonts w:ascii="宋体" w:hAnsi="Courier New"/>
      <w:sz w:val="21"/>
    </w:rPr>
  </w:style>
  <w:style w:type="character" w:customStyle="1" w:styleId="Char7">
    <w:name w:val="脚注文本 Char"/>
    <w:basedOn w:val="a0"/>
    <w:link w:val="ab"/>
    <w:semiHidden/>
    <w:qFormat/>
    <w:locked/>
    <w:rPr>
      <w:sz w:val="18"/>
    </w:rPr>
  </w:style>
  <w:style w:type="paragraph" w:customStyle="1" w:styleId="CharChar">
    <w:name w:val="Char Char"/>
    <w:basedOn w:val="a"/>
    <w:uiPriority w:val="99"/>
    <w:qFormat/>
    <w:pPr>
      <w:widowControl/>
      <w:jc w:val="left"/>
    </w:pPr>
    <w:rPr>
      <w:kern w:val="0"/>
      <w:sz w:val="24"/>
      <w:lang w:val="pl-PL" w:eastAsia="pl-PL"/>
    </w:rPr>
  </w:style>
  <w:style w:type="paragraph" w:customStyle="1" w:styleId="CharChar2CharCharCharChar">
    <w:name w:val="Char Char2 Char Char Char Char"/>
    <w:basedOn w:val="a"/>
    <w:uiPriority w:val="99"/>
    <w:qFormat/>
    <w:pPr>
      <w:widowControl/>
      <w:jc w:val="left"/>
    </w:pPr>
    <w:rPr>
      <w:kern w:val="0"/>
      <w:sz w:val="24"/>
      <w:lang w:val="pl-PL" w:eastAsia="pl-PL"/>
    </w:rPr>
  </w:style>
  <w:style w:type="character" w:customStyle="1" w:styleId="Char6">
    <w:name w:val="页眉 Char"/>
    <w:basedOn w:val="a0"/>
    <w:link w:val="aa"/>
    <w:uiPriority w:val="99"/>
    <w:qFormat/>
    <w:locked/>
    <w:rPr>
      <w:kern w:val="2"/>
      <w:sz w:val="18"/>
    </w:rPr>
  </w:style>
  <w:style w:type="character" w:customStyle="1" w:styleId="Char">
    <w:name w:val="文档结构图 Char"/>
    <w:basedOn w:val="a0"/>
    <w:link w:val="a3"/>
    <w:uiPriority w:val="99"/>
    <w:qFormat/>
    <w:locked/>
    <w:rPr>
      <w:rFonts w:ascii="宋体"/>
      <w:kern w:val="2"/>
      <w:sz w:val="18"/>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trans">
    <w:name w:val="trans"/>
    <w:uiPriority w:val="99"/>
    <w:qFormat/>
  </w:style>
  <w:style w:type="paragraph" w:customStyle="1" w:styleId="11">
    <w:name w:val="列出段落1"/>
    <w:basedOn w:val="a"/>
    <w:uiPriority w:val="34"/>
    <w:qFormat/>
    <w:pPr>
      <w:ind w:firstLineChars="200" w:firstLine="420"/>
    </w:pPr>
    <w:rPr>
      <w:rFonts w:ascii="Calibri" w:hAnsi="Calibri"/>
      <w:szCs w:val="22"/>
    </w:rPr>
  </w:style>
  <w:style w:type="paragraph" w:customStyle="1" w:styleId="Default">
    <w:name w:val="Default"/>
    <w:qFormat/>
    <w:pPr>
      <w:widowControl w:val="0"/>
      <w:autoSpaceDE w:val="0"/>
      <w:autoSpaceDN w:val="0"/>
      <w:adjustRightInd w:val="0"/>
    </w:pPr>
    <w:rPr>
      <w:rFonts w:ascii="Arial" w:hAnsi="Arial" w:cs="Arial"/>
      <w:color w:val="000000"/>
      <w:sz w:val="24"/>
      <w:szCs w:val="24"/>
    </w:rPr>
  </w:style>
  <w:style w:type="character" w:customStyle="1" w:styleId="highlight1">
    <w:name w:val="highlight1"/>
    <w:uiPriority w:val="99"/>
    <w:qFormat/>
    <w:rPr>
      <w:shd w:val="clear" w:color="auto" w:fill="FFFF00"/>
    </w:rPr>
  </w:style>
  <w:style w:type="character" w:customStyle="1" w:styleId="hps">
    <w:name w:val="hps"/>
    <w:uiPriority w:val="99"/>
    <w:qFormat/>
  </w:style>
  <w:style w:type="paragraph" w:customStyle="1" w:styleId="ordinary-output">
    <w:name w:val="ordinary-output"/>
    <w:basedOn w:val="a"/>
    <w:uiPriority w:val="99"/>
    <w:qFormat/>
    <w:pPr>
      <w:widowControl/>
      <w:spacing w:before="100" w:beforeAutospacing="1" w:after="75" w:line="330" w:lineRule="atLeast"/>
      <w:jc w:val="left"/>
    </w:pPr>
    <w:rPr>
      <w:rFonts w:ascii="宋体" w:hAnsi="宋体" w:cs="宋体"/>
      <w:color w:val="333333"/>
      <w:kern w:val="0"/>
      <w:sz w:val="27"/>
      <w:szCs w:val="27"/>
    </w:rPr>
  </w:style>
  <w:style w:type="paragraph" w:customStyle="1" w:styleId="default0">
    <w:name w:val="default"/>
    <w:basedOn w:val="a"/>
    <w:uiPriority w:val="99"/>
    <w:qFormat/>
    <w:pPr>
      <w:widowControl/>
      <w:spacing w:before="100" w:beforeAutospacing="1" w:after="100" w:afterAutospacing="1"/>
      <w:jc w:val="left"/>
    </w:pPr>
    <w:rPr>
      <w:rFonts w:ascii="宋体" w:hAnsi="宋体" w:cs="宋体"/>
      <w:kern w:val="0"/>
      <w:sz w:val="24"/>
    </w:rPr>
  </w:style>
  <w:style w:type="character" w:customStyle="1" w:styleId="high-light-bg4">
    <w:name w:val="high-light-bg4"/>
    <w:uiPriority w:val="99"/>
    <w:qFormat/>
  </w:style>
  <w:style w:type="character" w:customStyle="1" w:styleId="Char0">
    <w:name w:val="批注文字 Char"/>
    <w:basedOn w:val="a0"/>
    <w:link w:val="a4"/>
    <w:uiPriority w:val="99"/>
    <w:qFormat/>
    <w:locked/>
    <w:rPr>
      <w:kern w:val="2"/>
      <w:sz w:val="24"/>
    </w:rPr>
  </w:style>
  <w:style w:type="character" w:customStyle="1" w:styleId="Char8">
    <w:name w:val="批注主题 Char"/>
    <w:basedOn w:val="Char0"/>
    <w:link w:val="ae"/>
    <w:uiPriority w:val="99"/>
    <w:qFormat/>
    <w:locked/>
    <w:rPr>
      <w:b/>
      <w:kern w:val="2"/>
      <w:sz w:val="24"/>
    </w:rPr>
  </w:style>
  <w:style w:type="paragraph" w:customStyle="1" w:styleId="20">
    <w:name w:val="列出段落2"/>
    <w:basedOn w:val="a"/>
    <w:uiPriority w:val="34"/>
    <w:qFormat/>
    <w:pPr>
      <w:ind w:firstLineChars="200" w:firstLine="420"/>
    </w:pPr>
  </w:style>
  <w:style w:type="character" w:customStyle="1" w:styleId="Char3">
    <w:name w:val="日期 Char"/>
    <w:basedOn w:val="a0"/>
    <w:link w:val="a7"/>
    <w:uiPriority w:val="99"/>
    <w:semiHidden/>
    <w:qFormat/>
    <w:rPr>
      <w:kern w:val="2"/>
      <w:sz w:val="21"/>
      <w:szCs w:val="24"/>
    </w:rPr>
  </w:style>
  <w:style w:type="paragraph" w:styleId="af5">
    <w:name w:val="List Paragraph"/>
    <w:basedOn w:val="a"/>
    <w:uiPriority w:val="34"/>
    <w:qFormat/>
    <w:pPr>
      <w:ind w:firstLineChars="200" w:firstLine="420"/>
    </w:pPr>
    <w:rPr>
      <w:rFonts w:ascii="Calibri" w:hAnsi="Calibri"/>
      <w:szCs w:val="22"/>
    </w:rPr>
  </w:style>
  <w:style w:type="character" w:customStyle="1" w:styleId="text-dst">
    <w:name w:val="text-dst"/>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locked="1" w:uiPriority="0" w:unhideWhenUsed="1" w:qFormat="1"/>
    <w:lsdException w:name="heading 3" w:semiHidden="0" w:qFormat="1"/>
    <w:lsdException w:name="heading 4" w:semiHidden="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unhideWhenUsed="1"/>
    <w:lsdException w:name="footnote text" w:uiPriority="0" w:qFormat="1"/>
    <w:lsdException w:name="annotation text" w:semiHidden="0" w:qFormat="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iPriority="0" w:qFormat="1"/>
    <w:lsdException w:name="annotation reference" w:semiHidden="0" w:qFormat="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10" w:qFormat="1"/>
    <w:lsdException w:name="Closing" w:unhideWhenUsed="1"/>
    <w:lsdException w:name="Signature" w:unhideWhenUsed="1"/>
    <w:lsdException w:name="Default Paragraph Font" w:uiPriority="1" w:unhideWhenUsed="1" w:qFormat="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unhideWhenUsed="1"/>
    <w:lsdException w:name="Strong" w:locked="1" w:semiHidden="0" w:uiPriority="0" w:qFormat="1"/>
    <w:lsdException w:name="Emphasis" w:locked="1" w:semiHidden="0" w:uiPriority="20" w:qFormat="1"/>
    <w:lsdException w:name="Document Map" w:semiHidden="0" w:qFormat="1"/>
    <w:lsdException w:name="Plain Text" w:semiHidden="0" w:qFormat="1"/>
    <w:lsdException w:name="E-mail Signature" w:unhideWhenUsed="1"/>
    <w:lsdException w:name="HTML Top of Form" w:unhideWhenUsed="1"/>
    <w:lsdException w:name="HTML Bottom of Form" w:unhideWhenUsed="1"/>
    <w:lsdException w:name="Normal (Web)" w:semiHidden="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semiHidden="0" w:qFormat="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34"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8" w:lineRule="auto"/>
      <w:outlineLvl w:val="0"/>
    </w:pPr>
    <w:rPr>
      <w:rFonts w:ascii="Calibri" w:hAnsi="Calibri"/>
      <w:b/>
      <w:kern w:val="44"/>
      <w:sz w:val="44"/>
      <w:szCs w:val="20"/>
    </w:rPr>
  </w:style>
  <w:style w:type="paragraph" w:styleId="3">
    <w:name w:val="heading 3"/>
    <w:basedOn w:val="a"/>
    <w:next w:val="a"/>
    <w:link w:val="3Char"/>
    <w:uiPriority w:val="99"/>
    <w:qFormat/>
    <w:pPr>
      <w:keepNext/>
      <w:keepLines/>
      <w:spacing w:before="260" w:after="260" w:line="416" w:lineRule="auto"/>
      <w:outlineLvl w:val="2"/>
    </w:pPr>
    <w:rPr>
      <w:rFonts w:ascii="Calibri" w:hAnsi="Calibri"/>
      <w:b/>
      <w:sz w:val="32"/>
      <w:szCs w:val="20"/>
    </w:rPr>
  </w:style>
  <w:style w:type="paragraph" w:styleId="4">
    <w:name w:val="heading 4"/>
    <w:basedOn w:val="a"/>
    <w:next w:val="a"/>
    <w:link w:val="4Char"/>
    <w:uiPriority w:val="99"/>
    <w:qFormat/>
    <w:pPr>
      <w:keepNext/>
      <w:keepLines/>
      <w:spacing w:before="280" w:after="290" w:line="376" w:lineRule="auto"/>
      <w:outlineLvl w:val="3"/>
    </w:pPr>
    <w:rPr>
      <w:rFonts w:ascii="Cambria" w:hAnsi="Cambria"/>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99"/>
    <w:qFormat/>
    <w:pPr>
      <w:ind w:left="1260"/>
      <w:jc w:val="left"/>
    </w:pPr>
    <w:rPr>
      <w:rFonts w:ascii="Calibri" w:hAnsi="Calibri"/>
      <w:sz w:val="18"/>
      <w:szCs w:val="18"/>
    </w:rPr>
  </w:style>
  <w:style w:type="paragraph" w:styleId="a3">
    <w:name w:val="Document Map"/>
    <w:basedOn w:val="a"/>
    <w:link w:val="Char"/>
    <w:uiPriority w:val="99"/>
    <w:qFormat/>
    <w:rPr>
      <w:rFonts w:ascii="宋体"/>
      <w:sz w:val="18"/>
      <w:szCs w:val="20"/>
    </w:rPr>
  </w:style>
  <w:style w:type="paragraph" w:styleId="a4">
    <w:name w:val="annotation text"/>
    <w:basedOn w:val="a"/>
    <w:link w:val="Char0"/>
    <w:uiPriority w:val="99"/>
    <w:qFormat/>
    <w:pPr>
      <w:jc w:val="left"/>
    </w:pPr>
    <w:rPr>
      <w:sz w:val="24"/>
      <w:szCs w:val="20"/>
    </w:rPr>
  </w:style>
  <w:style w:type="paragraph" w:styleId="a5">
    <w:name w:val="Body Text"/>
    <w:basedOn w:val="a"/>
    <w:link w:val="Char1"/>
    <w:uiPriority w:val="99"/>
    <w:qFormat/>
    <w:rPr>
      <w:kern w:val="0"/>
      <w:sz w:val="24"/>
    </w:rPr>
  </w:style>
  <w:style w:type="paragraph" w:styleId="5">
    <w:name w:val="toc 5"/>
    <w:basedOn w:val="a"/>
    <w:next w:val="a"/>
    <w:uiPriority w:val="99"/>
    <w:qFormat/>
    <w:pPr>
      <w:ind w:left="840"/>
      <w:jc w:val="left"/>
    </w:pPr>
    <w:rPr>
      <w:rFonts w:ascii="Calibri" w:hAnsi="Calibri"/>
      <w:sz w:val="18"/>
      <w:szCs w:val="18"/>
    </w:rPr>
  </w:style>
  <w:style w:type="paragraph" w:styleId="30">
    <w:name w:val="toc 3"/>
    <w:basedOn w:val="a"/>
    <w:next w:val="a"/>
    <w:uiPriority w:val="99"/>
    <w:qFormat/>
    <w:pPr>
      <w:ind w:left="420"/>
      <w:jc w:val="left"/>
    </w:pPr>
    <w:rPr>
      <w:rFonts w:ascii="Calibri" w:hAnsi="Calibri"/>
      <w:i/>
      <w:iCs/>
      <w:sz w:val="20"/>
      <w:szCs w:val="20"/>
    </w:rPr>
  </w:style>
  <w:style w:type="paragraph" w:styleId="a6">
    <w:name w:val="Plain Text"/>
    <w:basedOn w:val="a"/>
    <w:link w:val="Char2"/>
    <w:uiPriority w:val="99"/>
    <w:qFormat/>
    <w:rPr>
      <w:rFonts w:ascii="宋体" w:hAnsi="Courier New"/>
      <w:kern w:val="0"/>
      <w:szCs w:val="21"/>
    </w:rPr>
  </w:style>
  <w:style w:type="paragraph" w:styleId="8">
    <w:name w:val="toc 8"/>
    <w:basedOn w:val="a"/>
    <w:next w:val="a"/>
    <w:uiPriority w:val="99"/>
    <w:qFormat/>
    <w:pPr>
      <w:ind w:left="1470"/>
      <w:jc w:val="left"/>
    </w:pPr>
    <w:rPr>
      <w:rFonts w:ascii="Calibri" w:hAnsi="Calibri"/>
      <w:sz w:val="18"/>
      <w:szCs w:val="18"/>
    </w:rPr>
  </w:style>
  <w:style w:type="paragraph" w:styleId="a7">
    <w:name w:val="Date"/>
    <w:basedOn w:val="a"/>
    <w:next w:val="a"/>
    <w:link w:val="Char3"/>
    <w:uiPriority w:val="99"/>
    <w:semiHidden/>
    <w:unhideWhenUsed/>
    <w:qFormat/>
    <w:pPr>
      <w:ind w:leftChars="2500" w:left="100"/>
    </w:pPr>
  </w:style>
  <w:style w:type="paragraph" w:styleId="a8">
    <w:name w:val="Balloon Text"/>
    <w:basedOn w:val="a"/>
    <w:link w:val="Char4"/>
    <w:uiPriority w:val="99"/>
    <w:semiHidden/>
    <w:qFormat/>
    <w:rPr>
      <w:kern w:val="0"/>
      <w:sz w:val="2"/>
      <w:szCs w:val="20"/>
    </w:rPr>
  </w:style>
  <w:style w:type="paragraph" w:styleId="a9">
    <w:name w:val="footer"/>
    <w:basedOn w:val="a"/>
    <w:link w:val="Char5"/>
    <w:uiPriority w:val="99"/>
    <w:qFormat/>
    <w:pPr>
      <w:tabs>
        <w:tab w:val="center" w:pos="4153"/>
        <w:tab w:val="right" w:pos="8306"/>
      </w:tabs>
      <w:snapToGrid w:val="0"/>
      <w:jc w:val="left"/>
    </w:pPr>
    <w:rPr>
      <w:kern w:val="0"/>
      <w:sz w:val="18"/>
      <w:szCs w:val="18"/>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99"/>
    <w:qFormat/>
    <w:pPr>
      <w:spacing w:before="120" w:after="120"/>
      <w:jc w:val="left"/>
    </w:pPr>
    <w:rPr>
      <w:rFonts w:ascii="Calibri" w:hAnsi="Calibri"/>
      <w:b/>
      <w:bCs/>
      <w:caps/>
      <w:sz w:val="20"/>
      <w:szCs w:val="20"/>
    </w:rPr>
  </w:style>
  <w:style w:type="paragraph" w:styleId="40">
    <w:name w:val="toc 4"/>
    <w:basedOn w:val="a"/>
    <w:next w:val="a"/>
    <w:uiPriority w:val="99"/>
    <w:qFormat/>
    <w:pPr>
      <w:ind w:left="630"/>
      <w:jc w:val="left"/>
    </w:pPr>
    <w:rPr>
      <w:rFonts w:ascii="Calibri" w:hAnsi="Calibri"/>
      <w:sz w:val="18"/>
      <w:szCs w:val="18"/>
    </w:rPr>
  </w:style>
  <w:style w:type="paragraph" w:styleId="ab">
    <w:name w:val="footnote text"/>
    <w:basedOn w:val="a"/>
    <w:link w:val="Char7"/>
    <w:semiHidden/>
    <w:qFormat/>
    <w:pPr>
      <w:snapToGrid w:val="0"/>
      <w:jc w:val="left"/>
    </w:pPr>
    <w:rPr>
      <w:kern w:val="0"/>
      <w:sz w:val="18"/>
      <w:szCs w:val="18"/>
    </w:rPr>
  </w:style>
  <w:style w:type="paragraph" w:styleId="6">
    <w:name w:val="toc 6"/>
    <w:basedOn w:val="a"/>
    <w:next w:val="a"/>
    <w:uiPriority w:val="99"/>
    <w:qFormat/>
    <w:pPr>
      <w:ind w:left="1050"/>
      <w:jc w:val="left"/>
    </w:pPr>
    <w:rPr>
      <w:rFonts w:ascii="Calibri" w:hAnsi="Calibri"/>
      <w:sz w:val="18"/>
      <w:szCs w:val="18"/>
    </w:rPr>
  </w:style>
  <w:style w:type="paragraph" w:styleId="2">
    <w:name w:val="toc 2"/>
    <w:basedOn w:val="a"/>
    <w:next w:val="a"/>
    <w:uiPriority w:val="99"/>
    <w:qFormat/>
    <w:pPr>
      <w:ind w:left="210"/>
      <w:jc w:val="left"/>
    </w:pPr>
    <w:rPr>
      <w:rFonts w:ascii="Calibri" w:hAnsi="Calibri"/>
      <w:smallCaps/>
      <w:sz w:val="20"/>
      <w:szCs w:val="20"/>
    </w:rPr>
  </w:style>
  <w:style w:type="paragraph" w:styleId="9">
    <w:name w:val="toc 9"/>
    <w:basedOn w:val="a"/>
    <w:next w:val="a"/>
    <w:uiPriority w:val="99"/>
    <w:qFormat/>
    <w:pPr>
      <w:ind w:left="1680"/>
      <w:jc w:val="left"/>
    </w:pPr>
    <w:rPr>
      <w:rFonts w:ascii="Calibri" w:hAnsi="Calibri"/>
      <w:sz w:val="18"/>
      <w:szCs w:val="18"/>
    </w:rPr>
  </w:style>
  <w:style w:type="paragraph" w:styleId="ac">
    <w:name w:val="Normal (Web)"/>
    <w:basedOn w:val="a"/>
    <w:uiPriority w:val="99"/>
    <w:qFormat/>
    <w:pPr>
      <w:widowControl/>
      <w:spacing w:before="100" w:beforeAutospacing="1" w:after="100" w:afterAutospacing="1"/>
      <w:jc w:val="left"/>
    </w:pPr>
    <w:rPr>
      <w:kern w:val="0"/>
      <w:sz w:val="24"/>
      <w:lang w:val="en-GB" w:eastAsia="en-GB"/>
    </w:rPr>
  </w:style>
  <w:style w:type="paragraph" w:styleId="ad">
    <w:name w:val="Title"/>
    <w:basedOn w:val="a"/>
    <w:uiPriority w:val="10"/>
    <w:qFormat/>
    <w:locked/>
    <w:pPr>
      <w:tabs>
        <w:tab w:val="left" w:pos="851"/>
      </w:tabs>
      <w:spacing w:before="240" w:after="60"/>
      <w:jc w:val="center"/>
      <w:outlineLvl w:val="0"/>
    </w:pPr>
    <w:rPr>
      <w:b/>
      <w:sz w:val="32"/>
    </w:rPr>
  </w:style>
  <w:style w:type="paragraph" w:styleId="ae">
    <w:name w:val="annotation subject"/>
    <w:basedOn w:val="a4"/>
    <w:next w:val="a4"/>
    <w:link w:val="Char8"/>
    <w:uiPriority w:val="99"/>
    <w:qFormat/>
    <w:rPr>
      <w:b/>
    </w:rPr>
  </w:style>
  <w:style w:type="table" w:styleId="af">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basedOn w:val="a0"/>
    <w:uiPriority w:val="99"/>
    <w:qFormat/>
    <w:rPr>
      <w:rFonts w:cs="Times New Roman"/>
    </w:rPr>
  </w:style>
  <w:style w:type="character" w:styleId="af1">
    <w:name w:val="Emphasis"/>
    <w:basedOn w:val="a0"/>
    <w:uiPriority w:val="20"/>
    <w:qFormat/>
    <w:locked/>
    <w:rPr>
      <w:i/>
      <w:iCs/>
    </w:rPr>
  </w:style>
  <w:style w:type="character" w:styleId="af2">
    <w:name w:val="Hyperlink"/>
    <w:basedOn w:val="a0"/>
    <w:uiPriority w:val="99"/>
    <w:qFormat/>
    <w:rPr>
      <w:rFonts w:cs="Times New Roman"/>
      <w:color w:val="0000FF"/>
      <w:u w:val="single"/>
    </w:rPr>
  </w:style>
  <w:style w:type="character" w:styleId="af3">
    <w:name w:val="annotation reference"/>
    <w:basedOn w:val="a0"/>
    <w:uiPriority w:val="99"/>
    <w:qFormat/>
    <w:rPr>
      <w:rFonts w:cs="Times New Roman"/>
      <w:sz w:val="21"/>
    </w:rPr>
  </w:style>
  <w:style w:type="character" w:styleId="af4">
    <w:name w:val="footnote reference"/>
    <w:basedOn w:val="a0"/>
    <w:semiHidden/>
    <w:qFormat/>
    <w:rPr>
      <w:rFonts w:cs="Times New Roman"/>
      <w:vertAlign w:val="superscript"/>
    </w:rPr>
  </w:style>
  <w:style w:type="character" w:customStyle="1" w:styleId="1Char">
    <w:name w:val="标题 1 Char"/>
    <w:basedOn w:val="a0"/>
    <w:link w:val="1"/>
    <w:uiPriority w:val="99"/>
    <w:qFormat/>
    <w:locked/>
    <w:rPr>
      <w:rFonts w:ascii="Calibri" w:hAnsi="Calibri"/>
      <w:b/>
      <w:kern w:val="44"/>
      <w:sz w:val="44"/>
    </w:rPr>
  </w:style>
  <w:style w:type="character" w:customStyle="1" w:styleId="3Char">
    <w:name w:val="标题 3 Char"/>
    <w:basedOn w:val="a0"/>
    <w:link w:val="3"/>
    <w:uiPriority w:val="99"/>
    <w:qFormat/>
    <w:locked/>
    <w:rPr>
      <w:rFonts w:ascii="Calibri" w:hAnsi="Calibri"/>
      <w:b/>
      <w:kern w:val="2"/>
      <w:sz w:val="32"/>
    </w:rPr>
  </w:style>
  <w:style w:type="character" w:customStyle="1" w:styleId="4Char">
    <w:name w:val="标题 4 Char"/>
    <w:basedOn w:val="a0"/>
    <w:link w:val="4"/>
    <w:uiPriority w:val="99"/>
    <w:qFormat/>
    <w:locked/>
    <w:rPr>
      <w:rFonts w:ascii="Cambria" w:hAnsi="Cambria"/>
      <w:b/>
      <w:kern w:val="2"/>
      <w:sz w:val="28"/>
    </w:rPr>
  </w:style>
  <w:style w:type="character" w:customStyle="1" w:styleId="Char1">
    <w:name w:val="正文文本 Char"/>
    <w:basedOn w:val="a0"/>
    <w:link w:val="a5"/>
    <w:uiPriority w:val="99"/>
    <w:semiHidden/>
    <w:qFormat/>
    <w:locked/>
    <w:rPr>
      <w:sz w:val="24"/>
    </w:rPr>
  </w:style>
  <w:style w:type="character" w:customStyle="1" w:styleId="Char5">
    <w:name w:val="页脚 Char"/>
    <w:basedOn w:val="a0"/>
    <w:link w:val="a9"/>
    <w:uiPriority w:val="99"/>
    <w:qFormat/>
    <w:locked/>
    <w:rPr>
      <w:sz w:val="18"/>
    </w:rPr>
  </w:style>
  <w:style w:type="character" w:customStyle="1" w:styleId="Char4">
    <w:name w:val="批注框文本 Char"/>
    <w:basedOn w:val="a0"/>
    <w:link w:val="a8"/>
    <w:uiPriority w:val="99"/>
    <w:semiHidden/>
    <w:qFormat/>
    <w:locked/>
    <w:rPr>
      <w:sz w:val="2"/>
    </w:rPr>
  </w:style>
  <w:style w:type="character" w:customStyle="1" w:styleId="Char2">
    <w:name w:val="纯文本 Char"/>
    <w:basedOn w:val="a0"/>
    <w:link w:val="a6"/>
    <w:uiPriority w:val="99"/>
    <w:semiHidden/>
    <w:qFormat/>
    <w:locked/>
    <w:rPr>
      <w:rFonts w:ascii="宋体" w:hAnsi="Courier New"/>
      <w:sz w:val="21"/>
    </w:rPr>
  </w:style>
  <w:style w:type="character" w:customStyle="1" w:styleId="Char7">
    <w:name w:val="脚注文本 Char"/>
    <w:basedOn w:val="a0"/>
    <w:link w:val="ab"/>
    <w:semiHidden/>
    <w:qFormat/>
    <w:locked/>
    <w:rPr>
      <w:sz w:val="18"/>
    </w:rPr>
  </w:style>
  <w:style w:type="paragraph" w:customStyle="1" w:styleId="CharChar">
    <w:name w:val="Char Char"/>
    <w:basedOn w:val="a"/>
    <w:uiPriority w:val="99"/>
    <w:qFormat/>
    <w:pPr>
      <w:widowControl/>
      <w:jc w:val="left"/>
    </w:pPr>
    <w:rPr>
      <w:kern w:val="0"/>
      <w:sz w:val="24"/>
      <w:lang w:val="pl-PL" w:eastAsia="pl-PL"/>
    </w:rPr>
  </w:style>
  <w:style w:type="paragraph" w:customStyle="1" w:styleId="CharChar2CharCharCharChar">
    <w:name w:val="Char Char2 Char Char Char Char"/>
    <w:basedOn w:val="a"/>
    <w:uiPriority w:val="99"/>
    <w:qFormat/>
    <w:pPr>
      <w:widowControl/>
      <w:jc w:val="left"/>
    </w:pPr>
    <w:rPr>
      <w:kern w:val="0"/>
      <w:sz w:val="24"/>
      <w:lang w:val="pl-PL" w:eastAsia="pl-PL"/>
    </w:rPr>
  </w:style>
  <w:style w:type="character" w:customStyle="1" w:styleId="Char6">
    <w:name w:val="页眉 Char"/>
    <w:basedOn w:val="a0"/>
    <w:link w:val="aa"/>
    <w:uiPriority w:val="99"/>
    <w:qFormat/>
    <w:locked/>
    <w:rPr>
      <w:kern w:val="2"/>
      <w:sz w:val="18"/>
    </w:rPr>
  </w:style>
  <w:style w:type="character" w:customStyle="1" w:styleId="Char">
    <w:name w:val="文档结构图 Char"/>
    <w:basedOn w:val="a0"/>
    <w:link w:val="a3"/>
    <w:uiPriority w:val="99"/>
    <w:qFormat/>
    <w:locked/>
    <w:rPr>
      <w:rFonts w:ascii="宋体"/>
      <w:kern w:val="2"/>
      <w:sz w:val="18"/>
    </w:rPr>
  </w:style>
  <w:style w:type="paragraph" w:customStyle="1" w:styleId="TOC1">
    <w:name w:val="TOC 标题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trans">
    <w:name w:val="trans"/>
    <w:uiPriority w:val="99"/>
    <w:qFormat/>
  </w:style>
  <w:style w:type="paragraph" w:customStyle="1" w:styleId="11">
    <w:name w:val="列出段落1"/>
    <w:basedOn w:val="a"/>
    <w:uiPriority w:val="34"/>
    <w:qFormat/>
    <w:pPr>
      <w:ind w:firstLineChars="200" w:firstLine="420"/>
    </w:pPr>
    <w:rPr>
      <w:rFonts w:ascii="Calibri" w:hAnsi="Calibri"/>
      <w:szCs w:val="22"/>
    </w:rPr>
  </w:style>
  <w:style w:type="paragraph" w:customStyle="1" w:styleId="Default">
    <w:name w:val="Default"/>
    <w:qFormat/>
    <w:pPr>
      <w:widowControl w:val="0"/>
      <w:autoSpaceDE w:val="0"/>
      <w:autoSpaceDN w:val="0"/>
      <w:adjustRightInd w:val="0"/>
    </w:pPr>
    <w:rPr>
      <w:rFonts w:ascii="Arial" w:hAnsi="Arial" w:cs="Arial"/>
      <w:color w:val="000000"/>
      <w:sz w:val="24"/>
      <w:szCs w:val="24"/>
    </w:rPr>
  </w:style>
  <w:style w:type="character" w:customStyle="1" w:styleId="highlight1">
    <w:name w:val="highlight1"/>
    <w:uiPriority w:val="99"/>
    <w:qFormat/>
    <w:rPr>
      <w:shd w:val="clear" w:color="auto" w:fill="FFFF00"/>
    </w:rPr>
  </w:style>
  <w:style w:type="character" w:customStyle="1" w:styleId="hps">
    <w:name w:val="hps"/>
    <w:uiPriority w:val="99"/>
    <w:qFormat/>
  </w:style>
  <w:style w:type="paragraph" w:customStyle="1" w:styleId="ordinary-output">
    <w:name w:val="ordinary-output"/>
    <w:basedOn w:val="a"/>
    <w:uiPriority w:val="99"/>
    <w:qFormat/>
    <w:pPr>
      <w:widowControl/>
      <w:spacing w:before="100" w:beforeAutospacing="1" w:after="75" w:line="330" w:lineRule="atLeast"/>
      <w:jc w:val="left"/>
    </w:pPr>
    <w:rPr>
      <w:rFonts w:ascii="宋体" w:hAnsi="宋体" w:cs="宋体"/>
      <w:color w:val="333333"/>
      <w:kern w:val="0"/>
      <w:sz w:val="27"/>
      <w:szCs w:val="27"/>
    </w:rPr>
  </w:style>
  <w:style w:type="paragraph" w:customStyle="1" w:styleId="default0">
    <w:name w:val="default"/>
    <w:basedOn w:val="a"/>
    <w:uiPriority w:val="99"/>
    <w:qFormat/>
    <w:pPr>
      <w:widowControl/>
      <w:spacing w:before="100" w:beforeAutospacing="1" w:after="100" w:afterAutospacing="1"/>
      <w:jc w:val="left"/>
    </w:pPr>
    <w:rPr>
      <w:rFonts w:ascii="宋体" w:hAnsi="宋体" w:cs="宋体"/>
      <w:kern w:val="0"/>
      <w:sz w:val="24"/>
    </w:rPr>
  </w:style>
  <w:style w:type="character" w:customStyle="1" w:styleId="high-light-bg4">
    <w:name w:val="high-light-bg4"/>
    <w:uiPriority w:val="99"/>
    <w:qFormat/>
  </w:style>
  <w:style w:type="character" w:customStyle="1" w:styleId="Char0">
    <w:name w:val="批注文字 Char"/>
    <w:basedOn w:val="a0"/>
    <w:link w:val="a4"/>
    <w:uiPriority w:val="99"/>
    <w:qFormat/>
    <w:locked/>
    <w:rPr>
      <w:kern w:val="2"/>
      <w:sz w:val="24"/>
    </w:rPr>
  </w:style>
  <w:style w:type="character" w:customStyle="1" w:styleId="Char8">
    <w:name w:val="批注主题 Char"/>
    <w:basedOn w:val="Char0"/>
    <w:link w:val="ae"/>
    <w:uiPriority w:val="99"/>
    <w:qFormat/>
    <w:locked/>
    <w:rPr>
      <w:b/>
      <w:kern w:val="2"/>
      <w:sz w:val="24"/>
    </w:rPr>
  </w:style>
  <w:style w:type="paragraph" w:customStyle="1" w:styleId="20">
    <w:name w:val="列出段落2"/>
    <w:basedOn w:val="a"/>
    <w:uiPriority w:val="34"/>
    <w:qFormat/>
    <w:pPr>
      <w:ind w:firstLineChars="200" w:firstLine="420"/>
    </w:pPr>
  </w:style>
  <w:style w:type="character" w:customStyle="1" w:styleId="Char3">
    <w:name w:val="日期 Char"/>
    <w:basedOn w:val="a0"/>
    <w:link w:val="a7"/>
    <w:uiPriority w:val="99"/>
    <w:semiHidden/>
    <w:qFormat/>
    <w:rPr>
      <w:kern w:val="2"/>
      <w:sz w:val="21"/>
      <w:szCs w:val="24"/>
    </w:rPr>
  </w:style>
  <w:style w:type="paragraph" w:styleId="af5">
    <w:name w:val="List Paragraph"/>
    <w:basedOn w:val="a"/>
    <w:uiPriority w:val="34"/>
    <w:qFormat/>
    <w:pPr>
      <w:ind w:firstLineChars="200" w:firstLine="420"/>
    </w:pPr>
    <w:rPr>
      <w:rFonts w:ascii="Calibri" w:hAnsi="Calibri"/>
      <w:szCs w:val="22"/>
    </w:rPr>
  </w:style>
  <w:style w:type="character" w:customStyle="1" w:styleId="text-dst">
    <w:name w:val="text-dst"/>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5"/>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15DF7E-4BE1-4847-AAE1-CB76F1BAD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614</Words>
  <Characters>3500</Characters>
  <Application>Microsoft Office Word</Application>
  <DocSecurity>0</DocSecurity>
  <Lines>29</Lines>
  <Paragraphs>8</Paragraphs>
  <ScaleCrop>false</ScaleCrop>
  <Company>Lenovo</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SLF 50次会议预案</dc:title>
  <dc:creator>gfzhang</dc:creator>
  <cp:lastModifiedBy>覃晓青</cp:lastModifiedBy>
  <cp:revision>2</cp:revision>
  <cp:lastPrinted>2016-01-15T06:56:00Z</cp:lastPrinted>
  <dcterms:created xsi:type="dcterms:W3CDTF">2024-02-01T07:49:00Z</dcterms:created>
  <dcterms:modified xsi:type="dcterms:W3CDTF">2024-02-01T07:49:00Z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43E06743A2F646CD9A2BAA2572D43A57_13</vt:lpwstr>
  </property>
</Properties>
</file>