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87" w:rsidRDefault="00FD0F87" w:rsidP="00FD0F87">
      <w:pPr>
        <w:tabs>
          <w:tab w:val="left" w:pos="180"/>
        </w:tabs>
        <w:spacing w:line="360" w:lineRule="auto"/>
        <w:jc w:val="center"/>
        <w:outlineLvl w:val="0"/>
        <w:rPr>
          <w:b/>
        </w:rPr>
      </w:pPr>
      <w:r>
        <w:rPr>
          <w:rFonts w:ascii="Arial" w:hAnsi="Arial" w:cs="Arial"/>
          <w:b/>
        </w:rPr>
        <w:t>IMO SDC1</w:t>
      </w:r>
      <w:r>
        <w:rPr>
          <w:rFonts w:hint="eastAsia"/>
          <w:b/>
        </w:rPr>
        <w:t>起草的文件清单</w:t>
      </w:r>
    </w:p>
    <w:p w:rsidR="00FD0F87" w:rsidRDefault="00FD0F87" w:rsidP="00FD0F87">
      <w:pPr>
        <w:rPr>
          <w:vanish/>
        </w:rPr>
      </w:pPr>
    </w:p>
    <w:tbl>
      <w:tblPr>
        <w:tblW w:w="14955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746"/>
        <w:gridCol w:w="1983"/>
        <w:gridCol w:w="851"/>
        <w:gridCol w:w="850"/>
        <w:gridCol w:w="709"/>
        <w:gridCol w:w="1417"/>
        <w:gridCol w:w="567"/>
        <w:gridCol w:w="567"/>
        <w:gridCol w:w="992"/>
        <w:gridCol w:w="567"/>
        <w:gridCol w:w="3117"/>
        <w:gridCol w:w="2126"/>
      </w:tblGrid>
      <w:tr w:rsidR="00FD0F87" w:rsidTr="00ED15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决议号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通函号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提交批准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通过委员会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（预计）</w:t>
            </w:r>
          </w:p>
          <w:p w:rsidR="00FD0F87" w:rsidRDefault="00FD0F87" w:rsidP="00ED154E"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批准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通过</w:t>
            </w:r>
          </w:p>
          <w:p w:rsidR="00FD0F87" w:rsidRDefault="00FD0F87" w:rsidP="00ED154E"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（预计）</w:t>
            </w:r>
          </w:p>
          <w:p w:rsidR="00FD0F87" w:rsidRDefault="00FD0F87" w:rsidP="00ED154E"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生效日期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适用</w:t>
            </w:r>
          </w:p>
          <w:p w:rsidR="00FD0F87" w:rsidRDefault="00FD0F87" w:rsidP="00ED154E"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船舶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是否</w:t>
            </w:r>
          </w:p>
          <w:p w:rsidR="00FD0F87" w:rsidRDefault="00FD0F87" w:rsidP="00ED154E"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强制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有无追溯要求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相关公约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文件页数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内容摘要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主要影响</w:t>
            </w:r>
          </w:p>
          <w:p w:rsidR="00FD0F87" w:rsidRDefault="00FD0F87" w:rsidP="00ED154E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（选取行业并提出具体影响）</w:t>
            </w:r>
          </w:p>
        </w:tc>
      </w:tr>
      <w:tr w:rsidR="00FD0F87" w:rsidTr="00ED15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SOLAS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kern w:val="0"/>
                <w:sz w:val="18"/>
                <w:szCs w:val="18"/>
              </w:rPr>
              <w:t>XIV</w:t>
            </w:r>
            <w:r>
              <w:rPr>
                <w:rFonts w:hint="eastAsia"/>
                <w:sz w:val="18"/>
                <w:szCs w:val="18"/>
              </w:rPr>
              <w:t>章修正草案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0" w:name="OLE_LINK121"/>
            <w:r>
              <w:rPr>
                <w:sz w:val="18"/>
                <w:szCs w:val="18"/>
              </w:rPr>
              <w:t>MSC93/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MSC94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1" w:name="OLE_LINK122"/>
            <w:bookmarkStart w:id="2" w:name="OLE_LINK123"/>
            <w:r>
              <w:rPr>
                <w:sz w:val="18"/>
                <w:szCs w:val="18"/>
              </w:rPr>
              <w:t>2014.5/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2014.11</w:t>
            </w:r>
            <w:bookmarkEnd w:id="1"/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2016.7.1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极地航行客船和</w:t>
            </w:r>
            <w:r>
              <w:rPr>
                <w:sz w:val="18"/>
                <w:szCs w:val="18"/>
              </w:rPr>
              <w:t>500GT</w:t>
            </w:r>
            <w:r>
              <w:rPr>
                <w:rFonts w:hint="eastAsia"/>
                <w:sz w:val="18"/>
                <w:szCs w:val="18"/>
              </w:rPr>
              <w:t>及以上货船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87" w:rsidRDefault="00FD0F87" w:rsidP="00ED154E">
            <w:pPr>
              <w:adjustRightInd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新增</w:t>
            </w:r>
            <w:r>
              <w:rPr>
                <w:sz w:val="18"/>
                <w:szCs w:val="18"/>
              </w:rPr>
              <w:t>SOLAS</w:t>
            </w:r>
            <w:r>
              <w:rPr>
                <w:rFonts w:hint="eastAsia"/>
                <w:sz w:val="18"/>
                <w:szCs w:val="18"/>
              </w:rPr>
              <w:t>第</w:t>
            </w:r>
            <w:bookmarkStart w:id="3" w:name="OLE_LINK132"/>
            <w:bookmarkStart w:id="4" w:name="OLE_LINK133"/>
            <w:r>
              <w:rPr>
                <w:sz w:val="18"/>
                <w:szCs w:val="18"/>
              </w:rPr>
              <w:t>XIV</w:t>
            </w:r>
            <w:bookmarkEnd w:id="3"/>
            <w:bookmarkEnd w:id="4"/>
            <w:r>
              <w:rPr>
                <w:rFonts w:hint="eastAsia"/>
                <w:sz w:val="18"/>
                <w:szCs w:val="18"/>
              </w:rPr>
              <w:t>章“极地水域操作船舶安全措施”，</w:t>
            </w:r>
            <w:bookmarkStart w:id="5" w:name="OLE_LINK1"/>
            <w:bookmarkStart w:id="6" w:name="OLE_LINK2"/>
            <w:r>
              <w:rPr>
                <w:rFonts w:hint="eastAsia"/>
                <w:sz w:val="18"/>
                <w:szCs w:val="18"/>
              </w:rPr>
              <w:t>强制实施</w:t>
            </w:r>
            <w:bookmarkEnd w:id="5"/>
            <w:bookmarkEnd w:id="6"/>
            <w:r>
              <w:rPr>
                <w:rFonts w:hint="eastAsia"/>
                <w:sz w:val="18"/>
                <w:szCs w:val="18"/>
              </w:rPr>
              <w:t>极地</w:t>
            </w:r>
            <w:proofErr w:type="gramStart"/>
            <w:r>
              <w:rPr>
                <w:rFonts w:hint="eastAsia"/>
                <w:sz w:val="18"/>
                <w:szCs w:val="18"/>
              </w:rPr>
              <w:t>规则第</w:t>
            </w:r>
            <w:proofErr w:type="gramEnd"/>
            <w:r>
              <w:rPr>
                <w:sz w:val="18"/>
                <w:szCs w:val="18"/>
              </w:rPr>
              <w:t>I-A</w:t>
            </w:r>
            <w:r>
              <w:rPr>
                <w:rFonts w:hint="eastAsia"/>
                <w:sz w:val="18"/>
                <w:szCs w:val="18"/>
              </w:rPr>
              <w:t>部分安全措施要求。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主管机关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船级社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航运业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造船业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设备制造业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船舶设计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>
              <w:rPr>
                <w:rFonts w:hint="eastAsia"/>
                <w:sz w:val="18"/>
                <w:szCs w:val="18"/>
              </w:rPr>
              <w:t>港口码头</w:t>
            </w:r>
          </w:p>
        </w:tc>
      </w:tr>
      <w:tr w:rsidR="00FD0F87" w:rsidTr="00ED154E">
        <w:trPr>
          <w:trHeight w:val="89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MARPOL</w:t>
            </w:r>
            <w:r>
              <w:rPr>
                <w:rFonts w:hint="eastAsia"/>
                <w:sz w:val="18"/>
                <w:szCs w:val="18"/>
              </w:rPr>
              <w:t>附则</w:t>
            </w:r>
            <w:r>
              <w:rPr>
                <w:sz w:val="18"/>
                <w:szCs w:val="18"/>
              </w:rPr>
              <w:t>I/II/ IV/V</w:t>
            </w:r>
            <w:r>
              <w:rPr>
                <w:rFonts w:hint="eastAsia"/>
                <w:sz w:val="18"/>
                <w:szCs w:val="18"/>
              </w:rPr>
              <w:t>修正草案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MEPC66/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MEPC67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2014.3/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r>
              <w:rPr>
                <w:sz w:val="18"/>
                <w:szCs w:val="18"/>
              </w:rPr>
              <w:t>2016.7.1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所有极地航行船舶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87" w:rsidRDefault="00FD0F87" w:rsidP="00ED154E">
            <w:pPr>
              <w:adjustRightInd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MARPOL</w:t>
            </w:r>
            <w:r>
              <w:rPr>
                <w:rFonts w:hint="eastAsia"/>
                <w:sz w:val="18"/>
                <w:szCs w:val="18"/>
              </w:rPr>
              <w:t>附则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II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IV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V</w:t>
            </w:r>
            <w:r>
              <w:rPr>
                <w:rFonts w:hint="eastAsia"/>
                <w:sz w:val="18"/>
                <w:szCs w:val="18"/>
              </w:rPr>
              <w:t>修正案，强制实施极地</w:t>
            </w:r>
            <w:proofErr w:type="gramStart"/>
            <w:r>
              <w:rPr>
                <w:rFonts w:hint="eastAsia"/>
                <w:sz w:val="18"/>
                <w:szCs w:val="18"/>
              </w:rPr>
              <w:t>规则第</w:t>
            </w:r>
            <w:proofErr w:type="gramEnd"/>
            <w:r>
              <w:rPr>
                <w:sz w:val="18"/>
                <w:szCs w:val="18"/>
              </w:rPr>
              <w:t>II-A</w:t>
            </w:r>
            <w:r>
              <w:rPr>
                <w:rFonts w:hint="eastAsia"/>
                <w:sz w:val="18"/>
                <w:szCs w:val="18"/>
              </w:rPr>
              <w:t>部分环保措施要求。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D0F87" w:rsidTr="00ED15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国际船舶极地水域操作规则草案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MSC93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MEPC66/MSC94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MEPC67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7" w:name="OLE_LINK14"/>
            <w:bookmarkStart w:id="8" w:name="OLE_LINK15"/>
            <w:r>
              <w:rPr>
                <w:sz w:val="18"/>
                <w:szCs w:val="18"/>
              </w:rPr>
              <w:t>2014.3-5</w:t>
            </w:r>
            <w:bookmarkEnd w:id="7"/>
            <w:bookmarkEnd w:id="8"/>
            <w:r>
              <w:rPr>
                <w:sz w:val="18"/>
                <w:szCs w:val="18"/>
              </w:rPr>
              <w:t>/2014.10-11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bookmarkStart w:id="9" w:name="OLE_LINK16"/>
            <w:bookmarkStart w:id="10" w:name="OLE_LINK17"/>
            <w:bookmarkStart w:id="11" w:name="OLE_LINK18"/>
            <w:r>
              <w:rPr>
                <w:sz w:val="18"/>
                <w:szCs w:val="18"/>
              </w:rPr>
              <w:t>2016.7.1</w:t>
            </w:r>
            <w:bookmarkEnd w:id="9"/>
            <w:bookmarkEnd w:id="10"/>
            <w:bookmarkEnd w:id="1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极地航行客船和</w:t>
            </w:r>
            <w:r>
              <w:rPr>
                <w:sz w:val="18"/>
                <w:szCs w:val="18"/>
              </w:rPr>
              <w:t>500GT</w:t>
            </w:r>
            <w:r>
              <w:rPr>
                <w:rFonts w:hint="eastAsia"/>
                <w:sz w:val="18"/>
                <w:szCs w:val="18"/>
              </w:rPr>
              <w:t>及以上货船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bookmarkStart w:id="12" w:name="OLE_LINK23"/>
            <w:bookmarkStart w:id="13" w:name="OLE_LINK24"/>
            <w:r>
              <w:rPr>
                <w:color w:val="000000"/>
                <w:sz w:val="18"/>
                <w:szCs w:val="18"/>
              </w:rPr>
              <w:t>SOLAS74</w:t>
            </w:r>
            <w:bookmarkEnd w:id="12"/>
            <w:bookmarkEnd w:id="13"/>
          </w:p>
          <w:p w:rsidR="00FD0F87" w:rsidRDefault="00FD0F87" w:rsidP="00ED154E">
            <w:pPr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MARPOL73/78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针对南北两极水域冰、低温、偏远、高纬度等特殊风险，制定了极地水域操作船舶安全和环保附加要求，覆盖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三类极地船舶设计、构造、设备、操作、船员培训、搜救、环境保护等所有与极地航运相关方面，充实现有</w:t>
            </w:r>
            <w:r>
              <w:rPr>
                <w:sz w:val="18"/>
                <w:szCs w:val="18"/>
              </w:rPr>
              <w:t>IMO</w:t>
            </w:r>
            <w:r>
              <w:rPr>
                <w:rFonts w:hint="eastAsia"/>
                <w:sz w:val="18"/>
                <w:szCs w:val="18"/>
              </w:rPr>
              <w:t>强制文件。规则分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部分安全措施和</w:t>
            </w:r>
            <w:r>
              <w:rPr>
                <w:sz w:val="18"/>
                <w:szCs w:val="18"/>
              </w:rPr>
              <w:t>II</w:t>
            </w:r>
            <w:r>
              <w:rPr>
                <w:rFonts w:hint="eastAsia"/>
                <w:sz w:val="18"/>
                <w:szCs w:val="18"/>
              </w:rPr>
              <w:t>部分环境保护措施，每部分由强制性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部分和建议性</w:t>
            </w:r>
            <w:r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部分组成。所有极地水域操作的船舶应符合极地规则，签发极地船舶证书和极地水域操作手册。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D0F87" w:rsidTr="00ED15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bookmarkStart w:id="14" w:name="OLE_LINK19"/>
            <w:bookmarkStart w:id="15" w:name="OLE_LINK20"/>
            <w:bookmarkStart w:id="16" w:name="OLE_LINK21"/>
            <w:bookmarkStart w:id="17" w:name="OLE_LINK22"/>
            <w:r>
              <w:rPr>
                <w:rFonts w:hint="eastAsia"/>
                <w:sz w:val="18"/>
                <w:szCs w:val="18"/>
              </w:rPr>
              <w:t>散货船及油船</w:t>
            </w:r>
            <w:bookmarkEnd w:id="14"/>
            <w:bookmarkEnd w:id="15"/>
            <w:bookmarkEnd w:id="16"/>
            <w:bookmarkEnd w:id="17"/>
            <w:r>
              <w:rPr>
                <w:rFonts w:hint="eastAsia"/>
                <w:sz w:val="18"/>
                <w:szCs w:val="18"/>
              </w:rPr>
              <w:t>检验期间加强检验程序规则（</w:t>
            </w:r>
            <w:r>
              <w:rPr>
                <w:sz w:val="18"/>
                <w:szCs w:val="18"/>
              </w:rPr>
              <w:t>2011 ESP</w:t>
            </w:r>
            <w:r>
              <w:rPr>
                <w:rFonts w:hint="eastAsia"/>
                <w:sz w:val="18"/>
                <w:szCs w:val="18"/>
              </w:rPr>
              <w:t>规则）修正草案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MSC93/</w:t>
            </w:r>
          </w:p>
          <w:p w:rsidR="00FD0F87" w:rsidRDefault="00FD0F87" w:rsidP="00ED154E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MSC94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2014.5/</w:t>
            </w:r>
          </w:p>
          <w:p w:rsidR="00FD0F87" w:rsidRDefault="00FD0F87" w:rsidP="00ED154E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散货船和油船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87" w:rsidRDefault="00FD0F87" w:rsidP="00ED154E">
            <w:pPr>
              <w:adjustRightInd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增加液压臂机车（如传统的升降台）作为所有船体结构近观检验的接近结构的措施；增加救助及应急响应设备应适合于所检验处所的结构形状；增加对于在船长指导下船员</w:t>
            </w:r>
            <w:proofErr w:type="gramStart"/>
            <w:r>
              <w:rPr>
                <w:rFonts w:hint="eastAsia"/>
                <w:sz w:val="18"/>
                <w:szCs w:val="18"/>
              </w:rPr>
              <w:t>自行进</w:t>
            </w:r>
            <w:proofErr w:type="gramEnd"/>
            <w:r>
              <w:rPr>
                <w:rFonts w:hint="eastAsia"/>
                <w:sz w:val="18"/>
                <w:szCs w:val="18"/>
              </w:rPr>
              <w:t>行货油舱试验可以被验船师接受需完全满足的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个前提条件；对需要满足</w:t>
            </w:r>
            <w:r>
              <w:rPr>
                <w:sz w:val="18"/>
                <w:szCs w:val="18"/>
              </w:rPr>
              <w:t>IMO GBS</w:t>
            </w:r>
            <w:r>
              <w:rPr>
                <w:rFonts w:hint="eastAsia"/>
                <w:sz w:val="18"/>
                <w:szCs w:val="18"/>
              </w:rPr>
              <w:t>体系的船舶，增加了关于船上保持及更新船舶建造案卷（</w:t>
            </w:r>
            <w:r>
              <w:rPr>
                <w:sz w:val="18"/>
                <w:szCs w:val="18"/>
              </w:rPr>
              <w:t>SCF</w:t>
            </w:r>
            <w:r>
              <w:rPr>
                <w:rFonts w:hint="eastAsia"/>
                <w:sz w:val="18"/>
                <w:szCs w:val="18"/>
              </w:rPr>
              <w:t>）和验船师应验证</w:t>
            </w:r>
            <w:r>
              <w:rPr>
                <w:sz w:val="18"/>
                <w:szCs w:val="18"/>
              </w:rPr>
              <w:t>SCF</w:t>
            </w:r>
            <w:r>
              <w:rPr>
                <w:rFonts w:hint="eastAsia"/>
                <w:sz w:val="18"/>
                <w:szCs w:val="18"/>
              </w:rPr>
              <w:t>更新的新规定。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18" w:name="OLE_LINK108"/>
            <w:bookmarkStart w:id="19" w:name="OLE_LINK109"/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主管机关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船级社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航运业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☐</w:t>
            </w:r>
            <w:r>
              <w:rPr>
                <w:rFonts w:hint="eastAsia"/>
                <w:sz w:val="18"/>
                <w:szCs w:val="18"/>
              </w:rPr>
              <w:t>造船业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20" w:name="OLE_LINK106"/>
            <w:bookmarkStart w:id="21" w:name="OLE_LINK107"/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bookmarkEnd w:id="20"/>
            <w:bookmarkEnd w:id="21"/>
            <w:r>
              <w:rPr>
                <w:rFonts w:hint="eastAsia"/>
                <w:sz w:val="18"/>
                <w:szCs w:val="18"/>
              </w:rPr>
              <w:t>设备制造业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☐</w:t>
            </w:r>
            <w:r>
              <w:rPr>
                <w:rFonts w:hint="eastAsia"/>
                <w:sz w:val="18"/>
                <w:szCs w:val="18"/>
              </w:rPr>
              <w:t>船舶设计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☐</w:t>
            </w:r>
            <w:r>
              <w:rPr>
                <w:rFonts w:hint="eastAsia"/>
                <w:kern w:val="0"/>
                <w:sz w:val="18"/>
                <w:szCs w:val="18"/>
              </w:rPr>
              <w:t>港口码头</w:t>
            </w:r>
            <w:bookmarkEnd w:id="18"/>
            <w:bookmarkEnd w:id="19"/>
          </w:p>
        </w:tc>
      </w:tr>
      <w:tr w:rsidR="00FD0F87" w:rsidTr="00ED15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bookmarkStart w:id="22" w:name="_Hlk379310648"/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TM.5</w:t>
            </w:r>
            <w:bookmarkStart w:id="23" w:name="OLE_LINK83"/>
            <w:bookmarkStart w:id="24" w:name="OLE_LINK84"/>
            <w:r>
              <w:rPr>
                <w:rFonts w:hint="eastAsia"/>
                <w:sz w:val="18"/>
                <w:szCs w:val="18"/>
              </w:rPr>
              <w:t>通函草案</w:t>
            </w:r>
            <w:bookmarkEnd w:id="23"/>
            <w:bookmarkEnd w:id="24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1969</w:t>
            </w:r>
            <w:r>
              <w:rPr>
                <w:rFonts w:hint="eastAsia"/>
                <w:sz w:val="18"/>
                <w:szCs w:val="18"/>
              </w:rPr>
              <w:t>国际吨位丈量公约统一解释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MSC93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25" w:name="OLE_LINK95"/>
            <w:r>
              <w:rPr>
                <w:sz w:val="18"/>
                <w:szCs w:val="18"/>
              </w:rPr>
              <w:t>2014.5</w:t>
            </w:r>
            <w:bookmarkEnd w:id="2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r>
              <w:rPr>
                <w:kern w:val="0"/>
                <w:sz w:val="18"/>
                <w:szCs w:val="18"/>
              </w:rPr>
              <w:t>2014.5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所有船舶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bookmarkStart w:id="26" w:name="OLE_LINK91"/>
            <w:bookmarkStart w:id="27" w:name="OLE_LINK92"/>
            <w:r>
              <w:rPr>
                <w:rFonts w:hint="eastAsia"/>
                <w:sz w:val="18"/>
                <w:szCs w:val="18"/>
              </w:rPr>
              <w:t>否</w:t>
            </w:r>
            <w:bookmarkEnd w:id="26"/>
            <w:bookmarkEnd w:id="2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bookmarkStart w:id="28" w:name="OLE_LINK93"/>
            <w:bookmarkStart w:id="29" w:name="OLE_LINK94"/>
            <w:r>
              <w:rPr>
                <w:color w:val="000000"/>
                <w:sz w:val="18"/>
                <w:szCs w:val="18"/>
              </w:rPr>
              <w:t>--</w:t>
            </w:r>
            <w:bookmarkEnd w:id="28"/>
            <w:bookmarkEnd w:id="2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  <w:r>
              <w:rPr>
                <w:rFonts w:hint="eastAsia"/>
                <w:sz w:val="18"/>
                <w:szCs w:val="18"/>
              </w:rPr>
              <w:t>国际吨位丈量公约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对</w:t>
            </w:r>
            <w:r>
              <w:rPr>
                <w:kern w:val="0"/>
                <w:sz w:val="18"/>
                <w:szCs w:val="18"/>
              </w:rPr>
              <w:t xml:space="preserve"> TM.5</w:t>
            </w:r>
            <w:r>
              <w:rPr>
                <w:rFonts w:hint="eastAsia"/>
                <w:kern w:val="0"/>
                <w:sz w:val="18"/>
                <w:szCs w:val="18"/>
              </w:rPr>
              <w:t>通函</w:t>
            </w:r>
            <w:r>
              <w:rPr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</w:rPr>
              <w:t>个方面进行修改调整，拟替代</w:t>
            </w:r>
            <w:r>
              <w:rPr>
                <w:kern w:val="0"/>
                <w:sz w:val="18"/>
                <w:szCs w:val="18"/>
              </w:rPr>
              <w:t>TM.5/Circ.5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30" w:name="OLE_LINK104"/>
            <w:bookmarkStart w:id="31" w:name="OLE_LINK105"/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主管机关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船级社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航运业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造船业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>
              <w:rPr>
                <w:rFonts w:hint="eastAsia"/>
                <w:sz w:val="18"/>
                <w:szCs w:val="18"/>
              </w:rPr>
              <w:t>设备制造业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船舶设计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港口码头</w:t>
            </w:r>
            <w:bookmarkEnd w:id="30"/>
            <w:bookmarkEnd w:id="31"/>
          </w:p>
        </w:tc>
      </w:tr>
      <w:bookmarkEnd w:id="22"/>
      <w:tr w:rsidR="00FD0F87" w:rsidTr="00ED154E">
        <w:trPr>
          <w:trHeight w:val="12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32" w:name="OLE_LINK85"/>
            <w:bookmarkStart w:id="33" w:name="OLE_LINK86"/>
            <w:r>
              <w:rPr>
                <w:sz w:val="18"/>
                <w:szCs w:val="18"/>
              </w:rPr>
              <w:t>MSC</w:t>
            </w:r>
            <w:r>
              <w:rPr>
                <w:rFonts w:hint="eastAsia"/>
                <w:sz w:val="18"/>
                <w:szCs w:val="18"/>
              </w:rPr>
              <w:t>通函草案</w:t>
            </w:r>
            <w:bookmarkEnd w:id="32"/>
            <w:bookmarkEnd w:id="33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原油船货油舱涂层防腐替代措施的性能标准（</w:t>
            </w:r>
            <w:r>
              <w:rPr>
                <w:sz w:val="18"/>
                <w:szCs w:val="18"/>
              </w:rPr>
              <w:t>MSC.289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87</w:t>
            </w:r>
            <w:r>
              <w:rPr>
                <w:rFonts w:hint="eastAsia"/>
                <w:sz w:val="18"/>
                <w:szCs w:val="18"/>
              </w:rPr>
              <w:t>））的统一解释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MSC93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r>
              <w:rPr>
                <w:kern w:val="0"/>
                <w:sz w:val="18"/>
                <w:szCs w:val="18"/>
              </w:rPr>
              <w:t>2014.5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r>
              <w:rPr>
                <w:rFonts w:hint="eastAsia"/>
                <w:kern w:val="0"/>
                <w:sz w:val="18"/>
                <w:szCs w:val="18"/>
              </w:rPr>
              <w:t>原油船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jc w:val="center"/>
            </w:pPr>
            <w:r>
              <w:rPr>
                <w:rFonts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jc w:val="center"/>
            </w:pPr>
            <w:r>
              <w:rPr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IACS UI SC258-</w:t>
            </w:r>
            <w:r>
              <w:rPr>
                <w:rFonts w:hint="eastAsia"/>
                <w:sz w:val="18"/>
                <w:szCs w:val="18"/>
              </w:rPr>
              <w:t>原油船货油舱腐蚀保护替代措施统一解释，</w:t>
            </w:r>
            <w:proofErr w:type="gramStart"/>
            <w:r>
              <w:rPr>
                <w:rFonts w:hint="eastAsia"/>
                <w:sz w:val="18"/>
                <w:szCs w:val="18"/>
              </w:rPr>
              <w:t>该统一</w:t>
            </w:r>
            <w:proofErr w:type="gramEnd"/>
            <w:r>
              <w:rPr>
                <w:rFonts w:hint="eastAsia"/>
                <w:sz w:val="18"/>
                <w:szCs w:val="18"/>
              </w:rPr>
              <w:t>解释已于</w:t>
            </w:r>
            <w:r>
              <w:rPr>
                <w:sz w:val="18"/>
                <w:szCs w:val="18"/>
              </w:rPr>
              <w:t>2013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日在</w:t>
            </w:r>
            <w:bookmarkStart w:id="34" w:name="OLE_LINK98"/>
            <w:bookmarkStart w:id="35" w:name="OLE_LINK99"/>
            <w:r>
              <w:rPr>
                <w:sz w:val="18"/>
                <w:szCs w:val="18"/>
              </w:rPr>
              <w:t>IACS</w:t>
            </w:r>
            <w:bookmarkEnd w:id="34"/>
            <w:bookmarkEnd w:id="35"/>
            <w:r>
              <w:rPr>
                <w:rFonts w:hint="eastAsia"/>
                <w:sz w:val="18"/>
                <w:szCs w:val="18"/>
              </w:rPr>
              <w:t>成员实施。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主管机关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船级社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36" w:name="OLE_LINK110"/>
            <w:bookmarkStart w:id="37" w:name="OLE_LINK111"/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bookmarkEnd w:id="36"/>
            <w:bookmarkEnd w:id="37"/>
            <w:r>
              <w:rPr>
                <w:rFonts w:hint="eastAsia"/>
                <w:sz w:val="18"/>
                <w:szCs w:val="18"/>
              </w:rPr>
              <w:t>航运业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造船业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>
              <w:rPr>
                <w:rFonts w:hint="eastAsia"/>
                <w:sz w:val="18"/>
                <w:szCs w:val="18"/>
              </w:rPr>
              <w:t>设备制造业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☐</w:t>
            </w:r>
            <w:r>
              <w:rPr>
                <w:rFonts w:hint="eastAsia"/>
                <w:sz w:val="18"/>
                <w:szCs w:val="18"/>
              </w:rPr>
              <w:t>船舶设计</w:t>
            </w:r>
          </w:p>
          <w:p w:rsidR="00FD0F87" w:rsidRDefault="00FD0F87" w:rsidP="00ED154E">
            <w:pPr>
              <w:adjustRightInd w:val="0"/>
              <w:snapToGrid w:val="0"/>
              <w:rPr>
                <w:rFonts w:ascii="MS Mincho" w:eastAsia="MS Mincho" w:hAnsi="MS Mincho" w:cs="MS Mincho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☐</w:t>
            </w:r>
            <w:r>
              <w:rPr>
                <w:rFonts w:hint="eastAsia"/>
                <w:kern w:val="0"/>
                <w:sz w:val="18"/>
                <w:szCs w:val="18"/>
              </w:rPr>
              <w:t>港口码头</w:t>
            </w:r>
          </w:p>
        </w:tc>
      </w:tr>
      <w:tr w:rsidR="00FD0F87" w:rsidTr="00ED154E">
        <w:trPr>
          <w:trHeight w:val="14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MSC</w:t>
            </w:r>
            <w:r>
              <w:rPr>
                <w:rFonts w:hint="eastAsia"/>
                <w:sz w:val="18"/>
                <w:szCs w:val="18"/>
              </w:rPr>
              <w:t>通函草案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bookmarkStart w:id="38" w:name="OLE_LINK89"/>
            <w:bookmarkStart w:id="39" w:name="OLE_LINK90"/>
            <w:bookmarkStart w:id="40" w:name="OLE_LINK102"/>
            <w:bookmarkStart w:id="41" w:name="OLE_LINK103"/>
            <w:r>
              <w:rPr>
                <w:rFonts w:hint="eastAsia"/>
                <w:sz w:val="18"/>
                <w:szCs w:val="18"/>
              </w:rPr>
              <w:t>原油船</w:t>
            </w:r>
            <w:bookmarkEnd w:id="38"/>
            <w:bookmarkEnd w:id="39"/>
            <w:r>
              <w:rPr>
                <w:rFonts w:hint="eastAsia"/>
                <w:sz w:val="18"/>
                <w:szCs w:val="18"/>
              </w:rPr>
              <w:t>货油舱保护涂层性能标准（</w:t>
            </w:r>
            <w:r>
              <w:rPr>
                <w:sz w:val="18"/>
                <w:szCs w:val="18"/>
              </w:rPr>
              <w:t>PSPC-COT</w:t>
            </w:r>
            <w:r>
              <w:rPr>
                <w:rFonts w:hint="eastAsia"/>
                <w:sz w:val="18"/>
                <w:szCs w:val="18"/>
              </w:rPr>
              <w:t>）（</w:t>
            </w:r>
            <w:r>
              <w:rPr>
                <w:sz w:val="18"/>
                <w:szCs w:val="18"/>
              </w:rPr>
              <w:t>MSC.288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87</w:t>
            </w:r>
            <w:r>
              <w:rPr>
                <w:rFonts w:hint="eastAsia"/>
                <w:sz w:val="18"/>
                <w:szCs w:val="18"/>
              </w:rPr>
              <w:t>））</w:t>
            </w:r>
            <w:bookmarkEnd w:id="40"/>
            <w:bookmarkEnd w:id="41"/>
            <w:r>
              <w:rPr>
                <w:rFonts w:hint="eastAsia"/>
                <w:sz w:val="18"/>
                <w:szCs w:val="18"/>
              </w:rPr>
              <w:t>的统一解释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MSC93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r>
              <w:rPr>
                <w:kern w:val="0"/>
                <w:sz w:val="18"/>
                <w:szCs w:val="18"/>
              </w:rPr>
              <w:t>2014.5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r>
              <w:rPr>
                <w:rFonts w:hint="eastAsia"/>
                <w:kern w:val="0"/>
                <w:sz w:val="18"/>
                <w:szCs w:val="18"/>
              </w:rPr>
              <w:t>原油船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jc w:val="center"/>
            </w:pPr>
            <w:r>
              <w:rPr>
                <w:rFonts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jc w:val="center"/>
            </w:pPr>
            <w:r>
              <w:rPr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IACS UI SC 259-</w:t>
            </w:r>
            <w:r>
              <w:rPr>
                <w:rFonts w:hint="eastAsia"/>
                <w:kern w:val="0"/>
                <w:sz w:val="18"/>
                <w:szCs w:val="18"/>
              </w:rPr>
              <w:t>原油船货油舱保护涂层性能标准（</w:t>
            </w:r>
            <w:r>
              <w:rPr>
                <w:kern w:val="0"/>
                <w:sz w:val="18"/>
                <w:szCs w:val="18"/>
              </w:rPr>
              <w:t>PSPC-COT</w:t>
            </w:r>
            <w:r>
              <w:rPr>
                <w:rFonts w:hint="eastAsia"/>
                <w:kern w:val="0"/>
                <w:sz w:val="18"/>
                <w:szCs w:val="18"/>
              </w:rPr>
              <w:t>）（</w:t>
            </w:r>
            <w:r>
              <w:rPr>
                <w:kern w:val="0"/>
                <w:sz w:val="18"/>
                <w:szCs w:val="18"/>
              </w:rPr>
              <w:t>MSC.288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87</w:t>
            </w:r>
            <w:r>
              <w:rPr>
                <w:rFonts w:hint="eastAsia"/>
                <w:kern w:val="0"/>
                <w:sz w:val="18"/>
                <w:szCs w:val="18"/>
              </w:rPr>
              <w:t>））的统一解释，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该统一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解释已于</w:t>
            </w:r>
            <w:r>
              <w:rPr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日在</w:t>
            </w:r>
            <w:r>
              <w:rPr>
                <w:sz w:val="18"/>
                <w:szCs w:val="18"/>
              </w:rPr>
              <w:t>IACS</w:t>
            </w:r>
            <w:r>
              <w:rPr>
                <w:rFonts w:hint="eastAsia"/>
                <w:sz w:val="18"/>
                <w:szCs w:val="18"/>
              </w:rPr>
              <w:t>成员实施。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主管机关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船级社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航运业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☒</w:t>
            </w:r>
            <w:r>
              <w:rPr>
                <w:rFonts w:hint="eastAsia"/>
                <w:sz w:val="18"/>
                <w:szCs w:val="18"/>
              </w:rPr>
              <w:t>造船业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>
              <w:rPr>
                <w:rFonts w:hint="eastAsia"/>
                <w:sz w:val="18"/>
                <w:szCs w:val="18"/>
              </w:rPr>
              <w:t>设备制造业</w:t>
            </w:r>
          </w:p>
          <w:p w:rsidR="00FD0F87" w:rsidRDefault="00FD0F87" w:rsidP="00ED154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☐</w:t>
            </w:r>
            <w:r>
              <w:rPr>
                <w:rFonts w:hint="eastAsia"/>
                <w:sz w:val="18"/>
                <w:szCs w:val="18"/>
              </w:rPr>
              <w:t>船舶设计</w:t>
            </w:r>
          </w:p>
          <w:p w:rsidR="00FD0F87" w:rsidRDefault="00FD0F87" w:rsidP="00ED154E">
            <w:pPr>
              <w:adjustRightInd w:val="0"/>
              <w:snapToGrid w:val="0"/>
              <w:rPr>
                <w:rFonts w:ascii="MS Mincho" w:eastAsia="MS Mincho" w:hAnsi="MS Mincho" w:cs="MS Mincho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☐</w:t>
            </w:r>
            <w:r>
              <w:rPr>
                <w:rFonts w:hint="eastAsia"/>
                <w:kern w:val="0"/>
                <w:sz w:val="18"/>
                <w:szCs w:val="18"/>
              </w:rPr>
              <w:t>港口码头</w:t>
            </w:r>
          </w:p>
        </w:tc>
      </w:tr>
    </w:tbl>
    <w:p w:rsidR="00FD0F87" w:rsidRPr="007316C7" w:rsidRDefault="00FD0F87" w:rsidP="00FD0F87">
      <w:pPr>
        <w:pStyle w:val="a3"/>
        <w:spacing w:line="360" w:lineRule="auto"/>
        <w:ind w:firstLineChars="200" w:firstLine="420"/>
      </w:pPr>
      <w:bookmarkStart w:id="42" w:name="_GoBack"/>
      <w:bookmarkEnd w:id="42"/>
    </w:p>
    <w:sectPr w:rsidR="00FD0F87" w:rsidRPr="007316C7" w:rsidSect="008767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87"/>
    <w:rsid w:val="001B4A07"/>
    <w:rsid w:val="007316C7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F8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F8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235</Words>
  <Characters>1340</Characters>
  <Application>Microsoft Office Word</Application>
  <DocSecurity>0</DocSecurity>
  <Lines>11</Lines>
  <Paragraphs>3</Paragraphs>
  <ScaleCrop>false</ScaleCrop>
  <Company>Lenovo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IMO SDC1起草的文件清单</dc:title>
  <dc:subject/>
  <dc:creator>王志荣</dc:creator>
  <cp:keywords/>
  <dc:description/>
  <cp:lastModifiedBy>王志荣</cp:lastModifiedBy>
  <cp:revision>2</cp:revision>
  <dcterms:created xsi:type="dcterms:W3CDTF">2014-01-29T02:26:00Z</dcterms:created>
  <dcterms:modified xsi:type="dcterms:W3CDTF">2014-01-30T05:30:00Z</dcterms:modified>
</cp:coreProperties>
</file>