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A58D51">
      <w:pPr>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Annex 1(</w:t>
      </w:r>
      <w:r>
        <w:rPr>
          <w:rFonts w:hint="default" w:ascii="Times New Roman" w:hAnsi="Times New Roman" w:cs="Times New Roman"/>
          <w:sz w:val="21"/>
          <w:szCs w:val="21"/>
          <w:vertAlign w:val="baseline"/>
          <w:lang w:val="en-US" w:eastAsia="zh-CN"/>
        </w:rPr>
        <w:t>Update to</w:t>
      </w:r>
      <w:r>
        <w:rPr>
          <w:rFonts w:hint="eastAsia" w:ascii="Times New Roman" w:hAnsi="Times New Roman" w:cs="Times New Roman"/>
          <w:sz w:val="21"/>
          <w:szCs w:val="21"/>
          <w:vertAlign w:val="baseline"/>
          <w:lang w:val="en-US" w:eastAsia="zh-CN"/>
        </w:rPr>
        <w:t xml:space="preserve"> May 21, 2026)</w:t>
      </w:r>
      <w:r>
        <w:rPr>
          <w:rFonts w:hint="default" w:ascii="Times New Roman" w:hAnsi="Times New Roman" w:cs="Times New Roman"/>
          <w:sz w:val="21"/>
          <w:szCs w:val="21"/>
          <w:vertAlign w:val="baseline"/>
          <w:lang w:val="en-US" w:eastAsia="zh-CN"/>
        </w:rPr>
        <w:t>：</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1180"/>
        <w:gridCol w:w="6023"/>
      </w:tblGrid>
      <w:tr w14:paraId="1B5E0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shd w:val="clear" w:color="auto" w:fill="D7D7D7"/>
            <w:noWrap w:val="0"/>
            <w:vAlign w:val="center"/>
          </w:tcPr>
          <w:p w14:paraId="4E9A577D">
            <w:pPr>
              <w:jc w:val="center"/>
              <w:rPr>
                <w:rFonts w:hint="default" w:ascii="Times New Roman" w:hAnsi="Times New Roman" w:cs="Times New Roman"/>
                <w:sz w:val="18"/>
                <w:szCs w:val="18"/>
                <w:vertAlign w:val="baseline"/>
              </w:rPr>
            </w:pPr>
            <w:r>
              <w:rPr>
                <w:rFonts w:hint="default" w:ascii="Times New Roman" w:hAnsi="Times New Roman" w:cs="Times New Roman"/>
                <w:sz w:val="18"/>
                <w:szCs w:val="18"/>
                <w:vertAlign w:val="baseline"/>
                <w:lang w:val="en-US" w:eastAsia="zh-CN"/>
              </w:rPr>
              <w:t>Flag Administration</w:t>
            </w:r>
          </w:p>
        </w:tc>
        <w:tc>
          <w:tcPr>
            <w:tcW w:w="1180" w:type="dxa"/>
            <w:shd w:val="clear" w:color="auto" w:fill="D7D7D7"/>
            <w:noWrap w:val="0"/>
            <w:vAlign w:val="center"/>
          </w:tcPr>
          <w:p w14:paraId="681B0855">
            <w:pPr>
              <w:jc w:val="center"/>
              <w:rPr>
                <w:rFonts w:hint="default" w:ascii="Times New Roman" w:hAnsi="Times New Roman" w:cs="Times New Roman"/>
                <w:sz w:val="18"/>
                <w:szCs w:val="18"/>
                <w:vertAlign w:val="baseline"/>
              </w:rPr>
            </w:pPr>
            <w:r>
              <w:rPr>
                <w:rFonts w:hint="default" w:ascii="Times New Roman" w:hAnsi="Times New Roman" w:cs="Times New Roman"/>
                <w:sz w:val="18"/>
                <w:szCs w:val="18"/>
                <w:vertAlign w:val="baseline"/>
                <w:lang w:val="en-US" w:eastAsia="zh-CN"/>
              </w:rPr>
              <w:t>Application</w:t>
            </w:r>
          </w:p>
        </w:tc>
        <w:tc>
          <w:tcPr>
            <w:tcW w:w="6023" w:type="dxa"/>
            <w:shd w:val="clear" w:color="auto" w:fill="D7D7D7"/>
            <w:noWrap w:val="0"/>
            <w:vAlign w:val="center"/>
          </w:tcPr>
          <w:p w14:paraId="583F02A9">
            <w:pPr>
              <w:jc w:val="center"/>
              <w:rPr>
                <w:rFonts w:hint="default" w:ascii="Times New Roman" w:hAnsi="Times New Roman" w:cs="Times New Roman"/>
                <w:sz w:val="18"/>
                <w:szCs w:val="18"/>
                <w:vertAlign w:val="baseline"/>
                <w:lang w:val="en-US" w:eastAsia="zh-CN"/>
              </w:rPr>
            </w:pPr>
            <w:r>
              <w:rPr>
                <w:rFonts w:hint="eastAsia" w:ascii="Times New Roman" w:hAnsi="Times New Roman" w:cs="Times New Roman"/>
                <w:sz w:val="18"/>
                <w:szCs w:val="18"/>
                <w:vertAlign w:val="baseline"/>
                <w:lang w:val="en-US" w:eastAsia="zh-CN"/>
              </w:rPr>
              <w:t>Flag Notice and special requirement</w:t>
            </w:r>
          </w:p>
        </w:tc>
      </w:tr>
      <w:tr w14:paraId="136C6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68F50DF3">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Antigua and Barbuda</w:t>
            </w:r>
          </w:p>
        </w:tc>
        <w:tc>
          <w:tcPr>
            <w:tcW w:w="1180" w:type="dxa"/>
            <w:noWrap w:val="0"/>
            <w:vAlign w:val="center"/>
          </w:tcPr>
          <w:p w14:paraId="0D71E3CF">
            <w:pPr>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w:t>
            </w:r>
          </w:p>
        </w:tc>
        <w:tc>
          <w:tcPr>
            <w:tcW w:w="6023" w:type="dxa"/>
            <w:noWrap w:val="0"/>
            <w:vAlign w:val="center"/>
          </w:tcPr>
          <w:p w14:paraId="73FF5757">
            <w:pPr>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SOLAS Circular No.2025-004</w:t>
            </w:r>
          </w:p>
          <w:p w14:paraId="0538C592">
            <w:pPr>
              <w:jc w:val="left"/>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1.Appliances with SWL &lt; 1,000 kg installed before 1 January 2026 may continue in service, provided they are properly maintained and documented through the vessel</w:t>
            </w:r>
            <w:r>
              <w:rPr>
                <w:rFonts w:hint="default" w:ascii="Times New Roman" w:hAnsi="Times New Roman" w:cs="Times New Roman"/>
                <w:sz w:val="21"/>
                <w:szCs w:val="21"/>
                <w:vertAlign w:val="baseline"/>
                <w:lang w:val="en-US" w:eastAsia="zh-CN"/>
              </w:rPr>
              <w:t>’</w:t>
            </w:r>
            <w:r>
              <w:rPr>
                <w:rFonts w:hint="eastAsia" w:ascii="Times New Roman" w:hAnsi="Times New Roman" w:cs="Times New Roman"/>
                <w:sz w:val="21"/>
                <w:szCs w:val="21"/>
                <w:vertAlign w:val="baseline"/>
                <w:lang w:val="en-US" w:eastAsia="zh-CN"/>
              </w:rPr>
              <w:t>s Planned Maintenance System (PMS) within the Safety Management System (SMS). Specifically: ①Load testing and thorough examination should be carried out, and the SWL permanently marked, with documentary evidence provided no later than the first Cargo Ship Safety Construction renewal survey on or after 1 January2026.②Existing certificates issued under another international instrument acceptable to the Administration, such as ILO C.152, may be maintained until their expiration.③For appliances where SWL or design information is undocumented (e.g.,</w:t>
            </w:r>
          </w:p>
          <w:p w14:paraId="1B34F4FB">
            <w:pPr>
              <w:jc w:val="left"/>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manufacturer no longer exists), the test load shall be based on the SWL nominated by the company (Owner or Management Company)(MSC.1/Circ.1663, 3.2.1.6)④Shipowners must ensure that maintenance records, inspections, and any</w:t>
            </w:r>
          </w:p>
          <w:p w14:paraId="00EC85EC">
            <w:pPr>
              <w:jc w:val="left"/>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repairs are current and readily available for review by ADOMS surveyors, Recognised Organisations (ROs), or Port State Control (PSC) authorities.</w:t>
            </w:r>
          </w:p>
          <w:p w14:paraId="0801124E">
            <w:pPr>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2.Appliances with SWL &lt; 1,000 kg installed on or after 1 January 2026 must fully comply with SOLAS II-1/3-13 and MSC.1/Circ.1663, including: 1. Design approval where applicable 2. Load testing and thorough examination3. Certification4. Documentation and marking</w:t>
            </w:r>
          </w:p>
        </w:tc>
      </w:tr>
      <w:tr w14:paraId="2CE7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521245DB">
            <w:pPr>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vertAlign w:val="baseline"/>
                <w:lang w:val="en-US" w:eastAsia="zh-CN"/>
              </w:rPr>
              <w:t>Australia</w:t>
            </w:r>
          </w:p>
        </w:tc>
        <w:tc>
          <w:tcPr>
            <w:tcW w:w="1180" w:type="dxa"/>
            <w:noWrap w:val="0"/>
            <w:vAlign w:val="center"/>
          </w:tcPr>
          <w:p w14:paraId="7B1AE928">
            <w:pPr>
              <w:jc w:val="center"/>
              <w:rPr>
                <w:rFonts w:hint="default" w:ascii="Times New Roman" w:hAnsi="Times New Roman" w:cs="Times New Roman"/>
                <w:sz w:val="21"/>
                <w:szCs w:val="21"/>
                <w:vertAlign w:val="baseline"/>
              </w:rPr>
            </w:pPr>
            <w:r>
              <w:rPr>
                <w:rFonts w:hint="eastAsia" w:ascii="Times New Roman" w:hAnsi="Times New Roman" w:cs="Times New Roman"/>
                <w:sz w:val="21"/>
                <w:szCs w:val="21"/>
                <w:vertAlign w:val="baseline"/>
                <w:lang w:val="en-US" w:eastAsia="zh-CN"/>
              </w:rPr>
              <w:t>√</w:t>
            </w:r>
          </w:p>
        </w:tc>
        <w:tc>
          <w:tcPr>
            <w:tcW w:w="6023" w:type="dxa"/>
            <w:noWrap w:val="0"/>
            <w:vAlign w:val="center"/>
          </w:tcPr>
          <w:p w14:paraId="38324BCE">
            <w:pPr>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Flag Email CCS NO.AMSA26005, the requirements applicable to lifting appliances with a SWL below 1,000 kg are the same as those applicable to lifting appliances with a SWL of 1,000 kg or greater.</w:t>
            </w:r>
          </w:p>
        </w:tc>
      </w:tr>
      <w:tr w14:paraId="33B4D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7F8542E6">
            <w:pPr>
              <w:jc w:val="center"/>
              <w:rPr>
                <w:rFonts w:hint="default" w:ascii="Times New Roman" w:hAnsi="Times New Roman" w:eastAsia="宋体"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Bahamas</w:t>
            </w:r>
          </w:p>
        </w:tc>
        <w:tc>
          <w:tcPr>
            <w:tcW w:w="1180" w:type="dxa"/>
            <w:noWrap w:val="0"/>
            <w:vAlign w:val="center"/>
          </w:tcPr>
          <w:p w14:paraId="03DA0047">
            <w:pPr>
              <w:jc w:val="center"/>
              <w:rPr>
                <w:rFonts w:hint="default" w:ascii="Times New Roman" w:hAnsi="Times New Roman" w:eastAsia="宋体"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w:t>
            </w:r>
          </w:p>
        </w:tc>
        <w:tc>
          <w:tcPr>
            <w:tcW w:w="6023" w:type="dxa"/>
            <w:noWrap w:val="0"/>
            <w:vAlign w:val="center"/>
          </w:tcPr>
          <w:p w14:paraId="74D679AC">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Marine notice 108，comply with the Bahamas Regulations only.</w:t>
            </w:r>
          </w:p>
        </w:tc>
      </w:tr>
      <w:tr w14:paraId="1EA45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50C94425">
            <w:pPr>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vertAlign w:val="baseline"/>
              </w:rPr>
              <w:t>Barbados</w:t>
            </w:r>
          </w:p>
        </w:tc>
        <w:tc>
          <w:tcPr>
            <w:tcW w:w="1180" w:type="dxa"/>
            <w:noWrap w:val="0"/>
            <w:vAlign w:val="center"/>
          </w:tcPr>
          <w:p w14:paraId="3FA703B0">
            <w:pPr>
              <w:jc w:val="center"/>
              <w:rPr>
                <w:rFonts w:hint="eastAsia" w:ascii="Times New Roman" w:hAnsi="Times New Roman" w:eastAsia="宋体" w:cs="Times New Roman"/>
                <w:sz w:val="21"/>
                <w:szCs w:val="21"/>
                <w:vertAlign w:val="baseline"/>
                <w:lang w:val="en-US" w:eastAsia="zh-CN"/>
              </w:rPr>
            </w:pPr>
            <w:r>
              <w:rPr>
                <w:rFonts w:hint="eastAsia" w:ascii="Times New Roman" w:hAnsi="Times New Roman" w:cs="Times New Roman"/>
                <w:sz w:val="21"/>
                <w:szCs w:val="21"/>
                <w:lang w:val="en-US" w:eastAsia="zh-CN"/>
              </w:rPr>
              <w:t>X</w:t>
            </w:r>
          </w:p>
        </w:tc>
        <w:tc>
          <w:tcPr>
            <w:tcW w:w="6023" w:type="dxa"/>
            <w:noWrap w:val="0"/>
            <w:vAlign w:val="center"/>
          </w:tcPr>
          <w:p w14:paraId="57386F4D">
            <w:pPr>
              <w:keepNext w:val="0"/>
              <w:keepLines w:val="0"/>
              <w:widowControl/>
              <w:suppressLineNumbers w:val="0"/>
              <w:jc w:val="left"/>
              <w:rPr>
                <w:rFonts w:hint="default" w:ascii="Times New Roman" w:hAnsi="Times New Roman" w:cs="Times New Roman"/>
                <w:sz w:val="21"/>
                <w:szCs w:val="21"/>
                <w:vertAlign w:val="baseline"/>
                <w:lang w:val="en-US"/>
              </w:rPr>
            </w:pPr>
            <w:r>
              <w:rPr>
                <w:rFonts w:hint="default" w:ascii="Times New Roman" w:hAnsi="Times New Roman" w:cs="Times New Roman"/>
                <w:sz w:val="21"/>
                <w:szCs w:val="21"/>
                <w:vertAlign w:val="baseline"/>
              </w:rPr>
              <w:t>Bulletin 050</w:t>
            </w:r>
            <w:r>
              <w:rPr>
                <w:rFonts w:hint="eastAsia" w:ascii="Times New Roman" w:hAnsi="Times New Roman" w:cs="Times New Roman"/>
                <w:sz w:val="21"/>
                <w:szCs w:val="21"/>
                <w:vertAlign w:val="baseline"/>
                <w:lang w:val="en-US" w:eastAsia="zh-CN"/>
              </w:rPr>
              <w:t xml:space="preserve"> Reg.4.3, </w:t>
            </w:r>
            <w:r>
              <w:rPr>
                <w:rFonts w:hint="default" w:ascii="Times New Roman" w:hAnsi="Times New Roman" w:cs="Times New Roman"/>
                <w:sz w:val="21"/>
                <w:szCs w:val="21"/>
                <w:vertAlign w:val="baseline"/>
                <w:lang w:val="en-US" w:eastAsia="zh-CN"/>
              </w:rPr>
              <w:t>lifting appliances shall be</w:t>
            </w:r>
            <w:r>
              <w:rPr>
                <w:rFonts w:hint="eastAsia" w:ascii="Times New Roman" w:hAnsi="Times New Roman" w:cs="Times New Roman"/>
                <w:sz w:val="21"/>
                <w:szCs w:val="21"/>
                <w:vertAlign w:val="baseline"/>
                <w:lang w:val="en-US" w:eastAsia="zh-CN"/>
              </w:rPr>
              <w:t xml:space="preserve"> </w:t>
            </w:r>
            <w:r>
              <w:rPr>
                <w:rFonts w:hint="default" w:ascii="Times New Roman" w:hAnsi="Times New Roman" w:cs="Times New Roman"/>
                <w:sz w:val="21"/>
                <w:szCs w:val="21"/>
                <w:vertAlign w:val="baseline"/>
                <w:lang w:val="en-US" w:eastAsia="zh-CN"/>
              </w:rPr>
              <w:t>permanently marked and provided with documentary evidence for the SWL.</w:t>
            </w:r>
          </w:p>
        </w:tc>
      </w:tr>
      <w:tr w14:paraId="44FE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7ADCE418">
            <w:pPr>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China</w:t>
            </w:r>
          </w:p>
        </w:tc>
        <w:tc>
          <w:tcPr>
            <w:tcW w:w="1180" w:type="dxa"/>
            <w:noWrap w:val="0"/>
            <w:vAlign w:val="center"/>
          </w:tcPr>
          <w:p w14:paraId="75760680">
            <w:pPr>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vertAlign w:val="baseline"/>
                <w:lang w:val="en-US" w:eastAsia="zh-CN"/>
              </w:rPr>
              <w:t>※</w:t>
            </w:r>
          </w:p>
        </w:tc>
        <w:tc>
          <w:tcPr>
            <w:tcW w:w="6023" w:type="dxa"/>
            <w:noWrap w:val="0"/>
            <w:vAlign w:val="center"/>
          </w:tcPr>
          <w:p w14:paraId="61AD7CDB">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&lt;</w:t>
            </w:r>
            <w:r>
              <w:rPr>
                <w:rFonts w:hint="default" w:ascii="Times New Roman" w:hAnsi="Times New Roman" w:cs="Times New Roman"/>
                <w:sz w:val="21"/>
                <w:szCs w:val="21"/>
                <w:vertAlign w:val="baseline"/>
                <w:lang w:val="en-US" w:eastAsia="zh-CN"/>
              </w:rPr>
              <w:t xml:space="preserve">Technology Regulation of Statutory Survey for Sea-going Ship of </w:t>
            </w:r>
            <w:r>
              <w:rPr>
                <w:rFonts w:hint="eastAsia" w:ascii="Times New Roman" w:hAnsi="Times New Roman" w:cs="Times New Roman"/>
                <w:sz w:val="21"/>
                <w:szCs w:val="21"/>
                <w:vertAlign w:val="baseline"/>
                <w:lang w:val="en-US" w:eastAsia="zh-CN"/>
              </w:rPr>
              <w:t>International</w:t>
            </w:r>
            <w:r>
              <w:rPr>
                <w:rFonts w:hint="default" w:ascii="Times New Roman" w:hAnsi="Times New Roman" w:cs="Times New Roman"/>
                <w:sz w:val="21"/>
                <w:szCs w:val="21"/>
                <w:vertAlign w:val="baseline"/>
                <w:lang w:val="en-US" w:eastAsia="zh-CN"/>
              </w:rPr>
              <w:t xml:space="preserve"> Voyage</w:t>
            </w:r>
            <w:r>
              <w:rPr>
                <w:rFonts w:hint="eastAsia" w:ascii="Times New Roman" w:hAnsi="Times New Roman" w:cs="Times New Roman"/>
                <w:sz w:val="21"/>
                <w:szCs w:val="21"/>
                <w:vertAlign w:val="baseline"/>
                <w:lang w:val="en-US" w:eastAsia="zh-CN"/>
              </w:rPr>
              <w:t>&gt;</w:t>
            </w:r>
          </w:p>
        </w:tc>
      </w:tr>
      <w:tr w14:paraId="65FA2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2C0F9E4F">
            <w:pPr>
              <w:jc w:val="center"/>
              <w:rPr>
                <w:rFonts w:hint="default" w:ascii="Times New Roman" w:hAnsi="Times New Roman" w:eastAsia="宋体"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Cook Islands</w:t>
            </w:r>
          </w:p>
        </w:tc>
        <w:tc>
          <w:tcPr>
            <w:tcW w:w="1180" w:type="dxa"/>
            <w:noWrap w:val="0"/>
            <w:vAlign w:val="center"/>
          </w:tcPr>
          <w:p w14:paraId="64C0D4A1">
            <w:pPr>
              <w:jc w:val="center"/>
              <w:rPr>
                <w:rFonts w:hint="default" w:ascii="Times New Roman" w:hAnsi="Times New Roman" w:cs="Times New Roman"/>
                <w:sz w:val="21"/>
                <w:szCs w:val="21"/>
                <w:vertAlign w:val="baseline"/>
              </w:rPr>
            </w:pPr>
            <w:r>
              <w:rPr>
                <w:rFonts w:hint="eastAsia" w:ascii="Times New Roman" w:hAnsi="Times New Roman" w:cs="Times New Roman"/>
                <w:sz w:val="21"/>
                <w:szCs w:val="21"/>
                <w:lang w:val="en-US" w:eastAsia="zh-CN"/>
              </w:rPr>
              <w:t>X</w:t>
            </w:r>
          </w:p>
        </w:tc>
        <w:tc>
          <w:tcPr>
            <w:tcW w:w="6023" w:type="dxa"/>
            <w:noWrap w:val="0"/>
            <w:vAlign w:val="center"/>
          </w:tcPr>
          <w:p w14:paraId="0A9792F0">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rPr>
              <w:t>MCI Circular 339/2026</w:t>
            </w:r>
            <w:r>
              <w:rPr>
                <w:rFonts w:hint="eastAsia" w:ascii="Times New Roman" w:hAnsi="Times New Roman" w:cs="Times New Roman"/>
                <w:sz w:val="21"/>
                <w:szCs w:val="21"/>
                <w:vertAlign w:val="baseline"/>
                <w:lang w:val="en-US" w:eastAsia="zh-CN"/>
              </w:rPr>
              <w:t xml:space="preserve"> Reg.3, </w:t>
            </w:r>
            <w:r>
              <w:rPr>
                <w:rFonts w:hint="default" w:ascii="Times New Roman" w:hAnsi="Times New Roman" w:cs="Times New Roman"/>
                <w:sz w:val="21"/>
                <w:szCs w:val="21"/>
                <w:vertAlign w:val="baseline"/>
                <w:lang w:val="en-US" w:eastAsia="zh-CN"/>
              </w:rPr>
              <w:t xml:space="preserve">Nevertheless, procedures for maintenance, inspection and operational testing, </w:t>
            </w:r>
          </w:p>
          <w:p w14:paraId="076067C5">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 xml:space="preserve">including record keeping for lifting appliances with a SWL of less than 1,000 kg are to be duly established </w:t>
            </w:r>
          </w:p>
          <w:p w14:paraId="1E2ACC40">
            <w:pPr>
              <w:keepNext w:val="0"/>
              <w:keepLines w:val="0"/>
              <w:widowControl/>
              <w:suppressLineNumbers w:val="0"/>
              <w:jc w:val="left"/>
              <w:rPr>
                <w:rFonts w:hint="eastAsia"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and maintained in the vessel’s onboard Safety Management System (SMS)</w:t>
            </w:r>
            <w:r>
              <w:rPr>
                <w:rFonts w:hint="eastAsia" w:ascii="Times New Roman" w:hAnsi="Times New Roman" w:cs="Times New Roman"/>
                <w:sz w:val="21"/>
                <w:szCs w:val="21"/>
                <w:vertAlign w:val="baseline"/>
                <w:lang w:val="en-US" w:eastAsia="zh-CN"/>
              </w:rPr>
              <w:t xml:space="preserve"> </w:t>
            </w:r>
          </w:p>
        </w:tc>
      </w:tr>
      <w:tr w14:paraId="2427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2DBCBAAC">
            <w:pPr>
              <w:jc w:val="center"/>
              <w:rPr>
                <w:rFonts w:hint="default" w:ascii="Times New Roman" w:hAnsi="Times New Roman" w:eastAsia="宋体"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Cypus</w:t>
            </w:r>
          </w:p>
        </w:tc>
        <w:tc>
          <w:tcPr>
            <w:tcW w:w="1180" w:type="dxa"/>
            <w:noWrap w:val="0"/>
            <w:vAlign w:val="center"/>
          </w:tcPr>
          <w:p w14:paraId="627F348A">
            <w:pPr>
              <w:jc w:val="center"/>
              <w:rPr>
                <w:rFonts w:hint="default" w:ascii="Times New Roman" w:hAnsi="Times New Roman" w:cs="Times New Roman"/>
                <w:sz w:val="21"/>
                <w:szCs w:val="21"/>
                <w:vertAlign w:val="baseline"/>
              </w:rPr>
            </w:pPr>
            <w:r>
              <w:rPr>
                <w:rFonts w:hint="eastAsia" w:ascii="Times New Roman" w:hAnsi="Times New Roman" w:cs="Times New Roman"/>
                <w:sz w:val="21"/>
                <w:szCs w:val="21"/>
                <w:lang w:val="en-US" w:eastAsia="zh-CN"/>
              </w:rPr>
              <w:t>X</w:t>
            </w:r>
          </w:p>
        </w:tc>
        <w:tc>
          <w:tcPr>
            <w:tcW w:w="6023" w:type="dxa"/>
            <w:noWrap w:val="0"/>
            <w:vAlign w:val="center"/>
          </w:tcPr>
          <w:p w14:paraId="66D169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Circular 27/2025</w:t>
            </w:r>
            <w:r>
              <w:rPr>
                <w:rFonts w:hint="eastAsia" w:ascii="Times New Roman" w:hAnsi="Times New Roman" w:cs="Times New Roman"/>
                <w:sz w:val="21"/>
                <w:szCs w:val="21"/>
                <w:vertAlign w:val="baseline"/>
                <w:lang w:val="en-US" w:eastAsia="zh-CN"/>
              </w:rPr>
              <w:t>, ①</w:t>
            </w:r>
            <w:r>
              <w:rPr>
                <w:rFonts w:hint="default" w:ascii="Times New Roman" w:hAnsi="Times New Roman" w:cs="Times New Roman"/>
                <w:sz w:val="21"/>
                <w:szCs w:val="21"/>
                <w:vertAlign w:val="baseline"/>
                <w:lang w:val="en-US" w:eastAsia="zh-CN"/>
              </w:rPr>
              <w:t>New equipment installed on or after 1 January 2026 shall be load tested and certified by the manufacturer.</w:t>
            </w:r>
          </w:p>
          <w:p w14:paraId="43A3F6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②</w:t>
            </w:r>
            <w:r>
              <w:rPr>
                <w:rFonts w:hint="default" w:ascii="Times New Roman" w:hAnsi="Times New Roman" w:cs="Times New Roman"/>
                <w:sz w:val="21"/>
                <w:szCs w:val="21"/>
                <w:vertAlign w:val="baseline"/>
                <w:lang w:val="en-US" w:eastAsia="zh-CN"/>
              </w:rPr>
              <w:t>The company shall carry out a risk assessment and incorporate it into the Safety Management System (SMS).</w:t>
            </w:r>
          </w:p>
          <w:p w14:paraId="783DA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left"/>
              <w:rPr>
                <w:rFonts w:hint="default" w:ascii="Times New Roman" w:hAnsi="Times New Roman" w:cs="Times New Roman"/>
                <w:sz w:val="21"/>
                <w:szCs w:val="21"/>
                <w:vertAlign w:val="baseline"/>
                <w:lang w:val="en-US"/>
              </w:rPr>
            </w:pPr>
            <w:r>
              <w:rPr>
                <w:rFonts w:hint="eastAsia" w:ascii="Times New Roman" w:hAnsi="Times New Roman" w:cs="Times New Roman"/>
                <w:sz w:val="21"/>
                <w:szCs w:val="21"/>
                <w:vertAlign w:val="baseline"/>
                <w:lang w:val="en-US" w:eastAsia="zh-CN"/>
              </w:rPr>
              <w:t>③</w:t>
            </w:r>
            <w:r>
              <w:rPr>
                <w:rFonts w:hint="default" w:ascii="Times New Roman" w:hAnsi="Times New Roman" w:cs="Times New Roman"/>
                <w:sz w:val="21"/>
                <w:szCs w:val="21"/>
                <w:vertAlign w:val="baseline"/>
                <w:lang w:val="en-US" w:eastAsia="zh-CN"/>
              </w:rPr>
              <w:t>Voluntary compliance with the relevant SOLAS requirements is encouraged.</w:t>
            </w:r>
          </w:p>
        </w:tc>
      </w:tr>
      <w:tr w14:paraId="28065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130CC6FC">
            <w:pPr>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vertAlign w:val="baseline"/>
              </w:rPr>
              <w:t>Georgia</w:t>
            </w:r>
          </w:p>
        </w:tc>
        <w:tc>
          <w:tcPr>
            <w:tcW w:w="1180" w:type="dxa"/>
            <w:noWrap w:val="0"/>
            <w:vAlign w:val="center"/>
          </w:tcPr>
          <w:p w14:paraId="40AF1598">
            <w:pPr>
              <w:jc w:val="center"/>
              <w:rPr>
                <w:rFonts w:hint="default" w:ascii="Times New Roman" w:hAnsi="Times New Roman" w:cs="Times New Roman"/>
                <w:sz w:val="21"/>
                <w:szCs w:val="21"/>
                <w:vertAlign w:val="baseline"/>
              </w:rPr>
            </w:pPr>
            <w:r>
              <w:rPr>
                <w:rFonts w:hint="eastAsia" w:ascii="Times New Roman" w:hAnsi="Times New Roman" w:cs="Times New Roman"/>
                <w:sz w:val="21"/>
                <w:szCs w:val="21"/>
                <w:vertAlign w:val="baseline"/>
                <w:lang w:val="en-US" w:eastAsia="zh-CN"/>
              </w:rPr>
              <w:t>√</w:t>
            </w:r>
          </w:p>
        </w:tc>
        <w:tc>
          <w:tcPr>
            <w:tcW w:w="6023" w:type="dxa"/>
            <w:noWrap w:val="0"/>
            <w:vAlign w:val="center"/>
          </w:tcPr>
          <w:p w14:paraId="5F7A1477">
            <w:pPr>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 7/CIRC/FSI</w:t>
            </w:r>
          </w:p>
        </w:tc>
      </w:tr>
      <w:tr w14:paraId="6AB49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468A574F">
            <w:pPr>
              <w:jc w:val="center"/>
              <w:rPr>
                <w:rFonts w:hint="eastAsia" w:ascii="Times New Roman" w:hAnsi="Times New Roman" w:eastAsia="宋体"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Germany</w:t>
            </w:r>
          </w:p>
        </w:tc>
        <w:tc>
          <w:tcPr>
            <w:tcW w:w="1180" w:type="dxa"/>
            <w:noWrap w:val="0"/>
            <w:vAlign w:val="center"/>
          </w:tcPr>
          <w:p w14:paraId="68724A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5738AB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02/2025 (ISM) Lifting Appliances</w:t>
            </w:r>
            <w:r>
              <w:rPr>
                <w:rFonts w:hint="eastAsia" w:ascii="Times New Roman" w:hAnsi="Times New Roman" w:cs="Times New Roman"/>
                <w:sz w:val="21"/>
                <w:szCs w:val="21"/>
                <w:vertAlign w:val="baseline"/>
                <w:lang w:val="en-US" w:eastAsia="zh-CN"/>
              </w:rPr>
              <w:t>,the shipowner may deviate and apply the national regime according to the Industrial Safety Ordinance (Betriebssicherheitsverordnung, BetrSichV)which includes following minimum requirements:①</w:t>
            </w:r>
            <w:r>
              <w:rPr>
                <w:rFonts w:hint="default" w:ascii="Times New Roman" w:hAnsi="Times New Roman" w:cs="Times New Roman"/>
                <w:sz w:val="21"/>
                <w:szCs w:val="21"/>
                <w:vertAlign w:val="baseline"/>
                <w:lang w:val="en-US" w:eastAsia="zh-CN"/>
              </w:rPr>
              <w:t>Regular inspections shall be carried out by a qualified person at intervals not exceeding 12 months.</w:t>
            </w:r>
            <w:r>
              <w:rPr>
                <w:rFonts w:hint="eastAsia" w:ascii="Times New Roman" w:hAnsi="Times New Roman" w:cs="Times New Roman"/>
                <w:sz w:val="21"/>
                <w:szCs w:val="21"/>
                <w:vertAlign w:val="baseline"/>
                <w:lang w:val="en-US" w:eastAsia="zh-CN"/>
              </w:rPr>
              <w:t>②</w:t>
            </w:r>
            <w:r>
              <w:rPr>
                <w:rFonts w:hint="default" w:ascii="Times New Roman" w:hAnsi="Times New Roman" w:cs="Times New Roman"/>
                <w:sz w:val="21"/>
                <w:szCs w:val="21"/>
                <w:vertAlign w:val="baseline"/>
                <w:lang w:val="en-US" w:eastAsia="zh-CN"/>
              </w:rPr>
              <w:t>A qualified person may be a member of the crew, provided that their training, experience, recent professional activity, and knowledge of the company’s procedures are sufficient.</w:t>
            </w:r>
            <w:r>
              <w:rPr>
                <w:rFonts w:hint="eastAsia" w:ascii="Times New Roman" w:hAnsi="Times New Roman" w:cs="Times New Roman"/>
                <w:sz w:val="21"/>
                <w:szCs w:val="21"/>
                <w:vertAlign w:val="baseline"/>
                <w:lang w:val="en-US" w:eastAsia="zh-CN"/>
              </w:rPr>
              <w:t>③</w:t>
            </w:r>
            <w:r>
              <w:rPr>
                <w:rFonts w:hint="default" w:ascii="Times New Roman" w:hAnsi="Times New Roman" w:cs="Times New Roman"/>
                <w:sz w:val="21"/>
                <w:szCs w:val="21"/>
                <w:vertAlign w:val="baseline"/>
                <w:lang w:val="en-US" w:eastAsia="zh-CN"/>
              </w:rPr>
              <w:t>The type, scope and interval of inspections, as well as the qualification requirements for the qualified person, shall be based on the company’s risk assessment, taking into account the manufacturer’s instructions and applicable standards.</w:t>
            </w:r>
            <w:r>
              <w:rPr>
                <w:rFonts w:hint="eastAsia" w:ascii="Times New Roman" w:hAnsi="Times New Roman" w:cs="Times New Roman"/>
                <w:sz w:val="21"/>
                <w:szCs w:val="21"/>
                <w:vertAlign w:val="baseline"/>
                <w:lang w:val="en-US" w:eastAsia="zh-CN"/>
              </w:rPr>
              <w:t>④</w:t>
            </w:r>
            <w:r>
              <w:rPr>
                <w:rFonts w:hint="default" w:ascii="Times New Roman" w:hAnsi="Times New Roman" w:cs="Times New Roman"/>
                <w:sz w:val="21"/>
                <w:szCs w:val="21"/>
                <w:vertAlign w:val="baseline"/>
                <w:lang w:val="en-US" w:eastAsia="zh-CN"/>
              </w:rPr>
              <w:t>Lifting appliances shall be permanently marked with the safe working load (SWL).</w:t>
            </w:r>
          </w:p>
        </w:tc>
      </w:tr>
      <w:tr w14:paraId="6BE38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124DE8EA">
            <w:pPr>
              <w:jc w:val="center"/>
              <w:rPr>
                <w:rFonts w:hint="eastAsia" w:ascii="Times New Roman" w:hAnsi="Times New Roman" w:eastAsia="宋体"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Greece</w:t>
            </w:r>
          </w:p>
        </w:tc>
        <w:tc>
          <w:tcPr>
            <w:tcW w:w="1180" w:type="dxa"/>
            <w:noWrap w:val="0"/>
            <w:vAlign w:val="center"/>
          </w:tcPr>
          <w:p w14:paraId="31565F5C">
            <w:pPr>
              <w:jc w:val="center"/>
              <w:rPr>
                <w:rFonts w:hint="default" w:ascii="Times New Roman" w:hAnsi="Times New Roman" w:cs="Times New Roman"/>
                <w:sz w:val="21"/>
                <w:szCs w:val="21"/>
                <w:vertAlign w:val="baseline"/>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0A783D7B">
            <w:pPr>
              <w:pStyle w:val="2"/>
              <w:jc w:val="left"/>
              <w:rPr>
                <w:rFonts w:hint="default" w:ascii="Times New Roman" w:hAnsi="Times New Roman" w:cs="Times New Roman"/>
                <w:sz w:val="21"/>
                <w:szCs w:val="21"/>
                <w:vertAlign w:val="baseline"/>
                <w:lang w:val="en-US" w:eastAsia="zh-CN"/>
              </w:rPr>
            </w:pPr>
            <w:r>
              <w:rPr>
                <w:rFonts w:hint="eastAsia" w:ascii="Times New Roman" w:hAnsi="Times New Roman" w:eastAsia="宋体" w:cs="Times New Roman"/>
                <w:kern w:val="2"/>
                <w:sz w:val="21"/>
                <w:szCs w:val="21"/>
                <w:vertAlign w:val="baseline"/>
                <w:lang w:val="en-US" w:eastAsia="zh-CN" w:bidi="ar-SA"/>
              </w:rPr>
              <w:t>2070.0/30712/2026</w:t>
            </w:r>
            <w:r>
              <w:rPr>
                <w:rFonts w:hint="eastAsia" w:eastAsia="宋体" w:cs="Times New Roman"/>
                <w:kern w:val="2"/>
                <w:sz w:val="21"/>
                <w:szCs w:val="21"/>
                <w:vertAlign w:val="baseline"/>
                <w:lang w:val="en-US" w:eastAsia="zh-CN" w:bidi="ar-SA"/>
              </w:rPr>
              <w:t xml:space="preserve"> </w:t>
            </w:r>
            <w:r>
              <w:rPr>
                <w:rFonts w:hint="eastAsia" w:ascii="Times New Roman" w:hAnsi="Times New Roman" w:cs="Times New Roman"/>
                <w:sz w:val="21"/>
                <w:szCs w:val="21"/>
                <w:vertAlign w:val="baseline"/>
                <w:lang w:val="en-US" w:eastAsia="zh-CN"/>
              </w:rPr>
              <w:t>part A</w:t>
            </w:r>
            <w:r>
              <w:rPr>
                <w:rFonts w:hint="eastAsia" w:eastAsia="宋体" w:cs="Times New Roman"/>
                <w:kern w:val="2"/>
                <w:sz w:val="21"/>
                <w:szCs w:val="21"/>
                <w:vertAlign w:val="baseline"/>
                <w:lang w:val="en-US" w:eastAsia="zh-CN" w:bidi="ar-SA"/>
              </w:rPr>
              <w:t xml:space="preserve">, </w:t>
            </w:r>
            <w:r>
              <w:rPr>
                <w:rFonts w:hint="eastAsia" w:ascii="Times New Roman" w:hAnsi="Times New Roman" w:eastAsia="宋体" w:cs="Times New Roman"/>
                <w:kern w:val="2"/>
                <w:sz w:val="21"/>
                <w:szCs w:val="21"/>
                <w:vertAlign w:val="baseline"/>
                <w:lang w:val="en-US" w:eastAsia="zh-CN" w:bidi="ar-SA"/>
              </w:rPr>
              <w:t>①</w:t>
            </w:r>
            <w:r>
              <w:rPr>
                <w:rFonts w:hint="default" w:ascii="Times New Roman" w:hAnsi="Times New Roman" w:eastAsia="宋体" w:cs="Times New Roman"/>
                <w:kern w:val="2"/>
                <w:sz w:val="21"/>
                <w:szCs w:val="21"/>
                <w:vertAlign w:val="baseline"/>
                <w:lang w:val="en-US" w:eastAsia="zh-CN" w:bidi="ar-SA"/>
              </w:rPr>
              <w:t>They shall bear clearly</w:t>
            </w:r>
            <w:r>
              <w:rPr>
                <w:rFonts w:hint="eastAsia" w:eastAsia="宋体" w:cs="Times New Roman"/>
                <w:kern w:val="2"/>
                <w:sz w:val="21"/>
                <w:szCs w:val="21"/>
                <w:vertAlign w:val="baseline"/>
                <w:lang w:val="en-US" w:eastAsia="zh-CN" w:bidi="ar-SA"/>
              </w:rPr>
              <w:t xml:space="preserve"> </w:t>
            </w:r>
            <w:r>
              <w:rPr>
                <w:rFonts w:hint="default" w:ascii="Times New Roman" w:hAnsi="Times New Roman" w:eastAsia="宋体" w:cs="Times New Roman"/>
                <w:kern w:val="2"/>
                <w:sz w:val="21"/>
                <w:szCs w:val="21"/>
                <w:vertAlign w:val="baseline"/>
                <w:lang w:val="en-US" w:eastAsia="zh-CN" w:bidi="ar-SA"/>
              </w:rPr>
              <w:t>visible permanent marking and supporting documentation indicating the Safe Working Load (SWL), as well as a test certificate issued by the manufacturer prior to their installation on board the ship</w:t>
            </w:r>
            <w:r>
              <w:rPr>
                <w:rFonts w:hint="eastAsia" w:ascii="Times New Roman" w:hAnsi="Times New Roman" w:eastAsia="宋体" w:cs="Times New Roman"/>
                <w:kern w:val="2"/>
                <w:sz w:val="21"/>
                <w:szCs w:val="21"/>
                <w:vertAlign w:val="baseline"/>
                <w:lang w:val="en-US" w:eastAsia="zh-CN" w:bidi="ar-SA"/>
              </w:rPr>
              <w:t>②</w:t>
            </w:r>
            <w:r>
              <w:rPr>
                <w:rFonts w:hint="default" w:ascii="Times New Roman" w:hAnsi="Times New Roman" w:eastAsia="宋体" w:cs="Times New Roman"/>
                <w:kern w:val="2"/>
                <w:sz w:val="21"/>
                <w:szCs w:val="21"/>
                <w:vertAlign w:val="baseline"/>
                <w:lang w:val="en-US" w:eastAsia="zh-CN" w:bidi="ar-SA"/>
              </w:rPr>
              <w:t>At a minimum, the</w:t>
            </w:r>
            <w:r>
              <w:rPr>
                <w:rFonts w:hint="eastAsia" w:eastAsia="宋体" w:cs="Times New Roman"/>
                <w:kern w:val="2"/>
                <w:sz w:val="21"/>
                <w:szCs w:val="21"/>
                <w:vertAlign w:val="baseline"/>
                <w:lang w:val="en-US" w:eastAsia="zh-CN" w:bidi="ar-SA"/>
              </w:rPr>
              <w:t xml:space="preserve"> </w:t>
            </w:r>
            <w:r>
              <w:rPr>
                <w:rFonts w:hint="default" w:ascii="Times New Roman" w:hAnsi="Times New Roman" w:eastAsia="宋体" w:cs="Times New Roman"/>
                <w:kern w:val="2"/>
                <w:sz w:val="21"/>
                <w:szCs w:val="21"/>
                <w:vertAlign w:val="baseline"/>
                <w:lang w:val="en-US" w:eastAsia="zh-CN" w:bidi="ar-SA"/>
              </w:rPr>
              <w:t>manufacturer’s instructions and requirements regarding inspection and maintenance shall be followed</w:t>
            </w:r>
            <w:r>
              <w:rPr>
                <w:rFonts w:hint="eastAsia" w:ascii="Times New Roman" w:hAnsi="Times New Roman" w:eastAsia="宋体" w:cs="Times New Roman"/>
                <w:kern w:val="2"/>
                <w:sz w:val="21"/>
                <w:szCs w:val="21"/>
                <w:vertAlign w:val="baseline"/>
                <w:lang w:val="en-US" w:eastAsia="zh-CN" w:bidi="ar-SA"/>
              </w:rPr>
              <w:t>③</w:t>
            </w:r>
            <w:r>
              <w:rPr>
                <w:rFonts w:hint="default" w:ascii="Times New Roman" w:hAnsi="Times New Roman" w:eastAsia="宋体" w:cs="Times New Roman"/>
                <w:kern w:val="2"/>
                <w:sz w:val="21"/>
                <w:szCs w:val="21"/>
                <w:vertAlign w:val="baseline"/>
                <w:lang w:val="en-US" w:eastAsia="zh-CN" w:bidi="ar-SA"/>
              </w:rPr>
              <w:t>The ship management company shall incorporate into the Safety Management System (SMS) procedures for inspection, maintenance, and crew</w:t>
            </w:r>
            <w:r>
              <w:rPr>
                <w:rFonts w:hint="eastAsia" w:eastAsia="宋体" w:cs="Times New Roman"/>
                <w:kern w:val="2"/>
                <w:sz w:val="21"/>
                <w:szCs w:val="21"/>
                <w:vertAlign w:val="baseline"/>
                <w:lang w:val="en-US" w:eastAsia="zh-CN" w:bidi="ar-SA"/>
              </w:rPr>
              <w:t xml:space="preserve"> </w:t>
            </w:r>
            <w:r>
              <w:rPr>
                <w:rFonts w:hint="default" w:ascii="Times New Roman" w:hAnsi="Times New Roman" w:eastAsia="宋体" w:cs="Times New Roman"/>
                <w:kern w:val="2"/>
                <w:sz w:val="21"/>
                <w:szCs w:val="21"/>
                <w:vertAlign w:val="baseline"/>
                <w:lang w:val="en-US" w:eastAsia="zh-CN" w:bidi="ar-SA"/>
              </w:rPr>
              <w:t>training/familiarisation regarding the inspection, maintenance, and use of the lifting appliances in question.</w:t>
            </w:r>
          </w:p>
        </w:tc>
      </w:tr>
      <w:tr w14:paraId="6BACE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34F6DC1B">
            <w:pPr>
              <w:jc w:val="center"/>
              <w:rPr>
                <w:rFonts w:hint="default" w:ascii="Times New Roman" w:hAnsi="Times New Roman" w:cs="Times New Roman"/>
                <w:sz w:val="21"/>
                <w:szCs w:val="21"/>
                <w:vertAlign w:val="baseline"/>
              </w:rPr>
            </w:pPr>
            <w:r>
              <w:rPr>
                <w:rFonts w:hint="default" w:ascii="Times New Roman" w:hAnsi="Times New Roman" w:cs="Times New Roman"/>
                <w:sz w:val="21"/>
                <w:szCs w:val="21"/>
                <w:vertAlign w:val="baseline"/>
              </w:rPr>
              <w:t>Guinea-Bissau</w:t>
            </w:r>
          </w:p>
        </w:tc>
        <w:tc>
          <w:tcPr>
            <w:tcW w:w="1180" w:type="dxa"/>
            <w:noWrap w:val="0"/>
            <w:vAlign w:val="center"/>
          </w:tcPr>
          <w:p w14:paraId="520ABD95">
            <w:pPr>
              <w:jc w:val="center"/>
              <w:rPr>
                <w:rFonts w:hint="default" w:ascii="Times New Roman" w:hAnsi="Times New Roman" w:cs="Times New Roman"/>
                <w:sz w:val="21"/>
                <w:szCs w:val="21"/>
                <w:vertAlign w:val="baseline"/>
              </w:rPr>
            </w:pPr>
            <w:r>
              <w:rPr>
                <w:rFonts w:hint="eastAsia" w:ascii="Times New Roman" w:hAnsi="Times New Roman" w:cs="Times New Roman"/>
                <w:sz w:val="21"/>
                <w:szCs w:val="21"/>
                <w:vertAlign w:val="baseline"/>
                <w:lang w:val="en-US" w:eastAsia="zh-CN"/>
              </w:rPr>
              <w:t>※</w:t>
            </w:r>
          </w:p>
        </w:tc>
        <w:tc>
          <w:tcPr>
            <w:tcW w:w="6023" w:type="dxa"/>
            <w:noWrap w:val="0"/>
            <w:vAlign w:val="center"/>
          </w:tcPr>
          <w:p w14:paraId="6259BC1D">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Marine Notice Nr. 02/2026</w:t>
            </w:r>
            <w:r>
              <w:rPr>
                <w:rFonts w:hint="eastAsia" w:ascii="Times New Roman" w:hAnsi="Times New Roman" w:cs="Times New Roman"/>
                <w:sz w:val="21"/>
                <w:szCs w:val="21"/>
                <w:vertAlign w:val="baseline"/>
                <w:lang w:val="en-US" w:eastAsia="zh-CN"/>
              </w:rPr>
              <w:t xml:space="preserve"> Reg.12.1, </w:t>
            </w:r>
            <w:r>
              <w:rPr>
                <w:rFonts w:hint="default" w:ascii="Times New Roman" w:hAnsi="Times New Roman" w:cs="Times New Roman"/>
                <w:sz w:val="21"/>
                <w:szCs w:val="21"/>
                <w:vertAlign w:val="baseline"/>
                <w:lang w:val="en-US" w:eastAsia="zh-CN"/>
              </w:rPr>
              <w:t xml:space="preserve">the Administration may determine a limited </w:t>
            </w:r>
          </w:p>
          <w:p w14:paraId="6B5DE8B5">
            <w:pPr>
              <w:keepNext w:val="0"/>
              <w:keepLines w:val="0"/>
              <w:widowControl/>
              <w:suppressLineNumbers w:val="0"/>
              <w:jc w:val="left"/>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a</w:t>
            </w:r>
            <w:r>
              <w:rPr>
                <w:rFonts w:hint="default" w:ascii="Times New Roman" w:hAnsi="Times New Roman" w:cs="Times New Roman"/>
                <w:sz w:val="21"/>
                <w:szCs w:val="21"/>
                <w:vertAlign w:val="baseline"/>
                <w:lang w:val="en-US" w:eastAsia="zh-CN"/>
              </w:rPr>
              <w:t>pplication</w:t>
            </w:r>
            <w:r>
              <w:rPr>
                <w:rFonts w:hint="eastAsia" w:ascii="Times New Roman" w:hAnsi="Times New Roman" w:cs="Times New Roman"/>
                <w:sz w:val="21"/>
                <w:szCs w:val="21"/>
                <w:vertAlign w:val="baseline"/>
                <w:lang w:val="en-US" w:eastAsia="zh-CN"/>
              </w:rPr>
              <w:t xml:space="preserve"> as per SOLAS Regulation II-1/3-13.1.3</w:t>
            </w:r>
          </w:p>
          <w:p w14:paraId="5BD4996B">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but rules not specified.</w:t>
            </w:r>
          </w:p>
        </w:tc>
      </w:tr>
      <w:tr w14:paraId="64CE3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2FB2C11C">
            <w:pPr>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Hong Kong</w:t>
            </w:r>
          </w:p>
        </w:tc>
        <w:tc>
          <w:tcPr>
            <w:tcW w:w="1180" w:type="dxa"/>
            <w:noWrap w:val="0"/>
            <w:vAlign w:val="center"/>
          </w:tcPr>
          <w:p w14:paraId="00D6C42A">
            <w:pPr>
              <w:keepNext w:val="0"/>
              <w:keepLines w:val="0"/>
              <w:widowControl/>
              <w:suppressLineNumbers w:val="0"/>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00875E4C">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Flag Email CCS NO.HKMD26009, but advise to double check with HKMD before sailing to Australia.</w:t>
            </w:r>
          </w:p>
        </w:tc>
      </w:tr>
      <w:tr w14:paraId="7596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0E9BD2DF">
            <w:pPr>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Kiribati</w:t>
            </w:r>
          </w:p>
        </w:tc>
        <w:tc>
          <w:tcPr>
            <w:tcW w:w="1180" w:type="dxa"/>
            <w:noWrap w:val="0"/>
            <w:vAlign w:val="center"/>
          </w:tcPr>
          <w:p w14:paraId="2F739B9E">
            <w:pPr>
              <w:keepNext w:val="0"/>
              <w:keepLines w:val="0"/>
              <w:widowControl/>
              <w:suppressLineNumbers w:val="0"/>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0DB28ED0">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Flag Email CCS NO.KSR26015,①The SWL shall be clearly marked on the lifting appliance.②Inspection, maintenance, and operational testing shall be carried out in accordance with the manufacturer’s recommendations, industry standards, or RO requirements.③Records of inspection, maintenance, testing, and any defects shall be kept on board.④Any unsafe or defective lifting appliance shall be taken out of service, clearly marked “not to be used”, and recorded accordingly.⑤</w:t>
            </w:r>
            <w:r>
              <w:rPr>
                <w:rFonts w:hint="default" w:ascii="Times New Roman" w:hAnsi="Times New Roman" w:cs="Times New Roman"/>
                <w:sz w:val="21"/>
                <w:szCs w:val="21"/>
                <w:vertAlign w:val="baseline"/>
                <w:lang w:val="en-US" w:eastAsia="zh-CN"/>
              </w:rPr>
              <w:t>Associated loose gear shall be properly</w:t>
            </w:r>
            <w:r>
              <w:rPr>
                <w:rFonts w:hint="eastAsia" w:ascii="Times New Roman" w:hAnsi="Times New Roman" w:cs="Times New Roman"/>
                <w:sz w:val="21"/>
                <w:szCs w:val="21"/>
                <w:vertAlign w:val="baseline"/>
                <w:lang w:val="en-US" w:eastAsia="zh-CN"/>
              </w:rPr>
              <w:t xml:space="preserve"> </w:t>
            </w:r>
            <w:r>
              <w:rPr>
                <w:rFonts w:hint="default" w:ascii="Times New Roman" w:hAnsi="Times New Roman" w:cs="Times New Roman"/>
                <w:sz w:val="21"/>
                <w:szCs w:val="21"/>
                <w:vertAlign w:val="baseline"/>
                <w:lang w:val="en-US" w:eastAsia="zh-CN"/>
              </w:rPr>
              <w:t>identified, inspected, maintained, and used safely.</w:t>
            </w:r>
          </w:p>
        </w:tc>
      </w:tr>
      <w:tr w14:paraId="58F86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26C606B6">
            <w:pPr>
              <w:jc w:val="center"/>
              <w:rPr>
                <w:rFonts w:hint="eastAsia" w:ascii="Times New Roman" w:hAnsi="Times New Roman" w:eastAsia="宋体"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Liberia</w:t>
            </w:r>
          </w:p>
        </w:tc>
        <w:tc>
          <w:tcPr>
            <w:tcW w:w="1180" w:type="dxa"/>
            <w:noWrap w:val="0"/>
            <w:vAlign w:val="center"/>
          </w:tcPr>
          <w:p w14:paraId="5C230509">
            <w:pPr>
              <w:jc w:val="center"/>
              <w:rPr>
                <w:rFonts w:hint="default" w:ascii="Times New Roman" w:hAnsi="Times New Roman" w:cs="Times New Roman"/>
                <w:sz w:val="21"/>
                <w:szCs w:val="21"/>
                <w:vertAlign w:val="baseline"/>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426AD00F">
            <w:pPr>
              <w:jc w:val="left"/>
              <w:rPr>
                <w:rFonts w:hint="eastAsia" w:ascii="Times New Roman" w:hAnsi="Times New Roman" w:eastAsia="宋体" w:cs="Times New Roman"/>
                <w:sz w:val="21"/>
                <w:szCs w:val="21"/>
                <w:vertAlign w:val="baseline"/>
                <w:lang w:eastAsia="zh-CN"/>
              </w:rPr>
            </w:pPr>
            <w:r>
              <w:rPr>
                <w:rFonts w:hint="eastAsia" w:ascii="Times New Roman" w:hAnsi="Times New Roman" w:cs="Times New Roman"/>
                <w:sz w:val="21"/>
                <w:szCs w:val="21"/>
                <w:vertAlign w:val="baseline"/>
                <w:lang w:val="en-US" w:eastAsia="zh-CN"/>
              </w:rPr>
              <w:t>Marine Notice SAF-020 Rev. 10/25, ①With regard to lifting appliances with a safe working load below 1,0</w:t>
            </w:r>
            <w:bookmarkStart w:id="0" w:name="_GoBack"/>
            <w:bookmarkEnd w:id="0"/>
            <w:r>
              <w:rPr>
                <w:rFonts w:hint="eastAsia" w:ascii="Times New Roman" w:hAnsi="Times New Roman" w:cs="Times New Roman"/>
                <w:sz w:val="21"/>
                <w:szCs w:val="21"/>
                <w:vertAlign w:val="baseline"/>
                <w:lang w:val="en-US" w:eastAsia="zh-CN"/>
              </w:rPr>
              <w:t>00 kg installed on or after 1 January 2026, these shall be load tested and thoroughly examined by the manufacturer, shipbuilder or commissioning contractor after installation onboard and provided with a certificate of test.②</w:t>
            </w:r>
            <w:r>
              <w:rPr>
                <w:rFonts w:hint="default" w:ascii="Times New Roman" w:hAnsi="Times New Roman" w:cs="Times New Roman"/>
                <w:sz w:val="21"/>
                <w:szCs w:val="21"/>
                <w:vertAlign w:val="baseline"/>
                <w:lang w:val="en-US" w:eastAsia="zh-CN"/>
              </w:rPr>
              <w:t>For all lifting appliances with a safe working load below 1,000 kg, shipowners and operators should assess their usage and associated risks and incorporate procedures for inspection and maintenance into the shipboard Safety Management System (SMS).</w:t>
            </w:r>
          </w:p>
        </w:tc>
      </w:tr>
      <w:tr w14:paraId="33BE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290986AE">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Luxembourg</w:t>
            </w:r>
          </w:p>
        </w:tc>
        <w:tc>
          <w:tcPr>
            <w:tcW w:w="1180" w:type="dxa"/>
            <w:noWrap w:val="0"/>
            <w:vAlign w:val="center"/>
          </w:tcPr>
          <w:p w14:paraId="17CF3C15">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0BB07EE1">
            <w:pPr>
              <w:jc w:val="left"/>
              <w:rPr>
                <w:rFonts w:hint="eastAsia" w:ascii="Times New Roman" w:hAnsi="Times New Roman" w:eastAsia="宋体"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Circular CAM 08/2025, Lifting appliances with an SWL below 1000kg fall outside the mandatory scope of approval, survey, and certification requirements contained in paragraphs 2.1 and 2.4 of the Regulation. Nevertheless, ship owners and operators are encouraged to apply these requirements on a voluntary basis.①Each appliance must be permanently and legibly marked with its SWL and documentary evidence of the SWL shall be retained on board.②Ship owners and operators should assess the appliances’ usage and associated risks, and incorporate procedures for inspection, maintenance, and training/familiarization within the Safety Management System (SMS).</w:t>
            </w:r>
          </w:p>
        </w:tc>
      </w:tr>
      <w:tr w14:paraId="3800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7E63117F">
            <w:pPr>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Malaysia</w:t>
            </w:r>
          </w:p>
        </w:tc>
        <w:tc>
          <w:tcPr>
            <w:tcW w:w="1180" w:type="dxa"/>
            <w:noWrap w:val="0"/>
            <w:vAlign w:val="center"/>
          </w:tcPr>
          <w:p w14:paraId="204ED100">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0A9BF362">
            <w:pPr>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Flag Email CCS NO.MMD26004, The Administration has determined that the specific provisions of SOLAS Regulation II-1/3-13.1.3 (paragraphs 2.1 and 2.4) do not apply to lifting appliances with SWL below 1,000 kg. The RO should ensure that lifting appliances installed on board of vessel subjected to the provisions under the Merchant Shipping Ordinance 1952, Port (Safety of Workers) Rules 1985 Part IV, surveyed and certified in accordance with the above requirements.</w:t>
            </w:r>
          </w:p>
        </w:tc>
      </w:tr>
      <w:tr w14:paraId="4FEBD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4BF95B4D">
            <w:pPr>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Malta</w:t>
            </w:r>
          </w:p>
        </w:tc>
        <w:tc>
          <w:tcPr>
            <w:tcW w:w="1180" w:type="dxa"/>
            <w:noWrap w:val="0"/>
            <w:vAlign w:val="center"/>
          </w:tcPr>
          <w:p w14:paraId="7BDDB0B2">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662D1E5E">
            <w:pPr>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Technical Notice SLS. 40,  procedures for maintenance, inspection and operational testing, including record keeping for all non-permanently fixed/installed loose gear and lifting appliances with a SWL of less than 1,000 kg are to be duly established and maintained in the vessel</w:t>
            </w:r>
            <w:r>
              <w:rPr>
                <w:rFonts w:hint="default" w:ascii="Times New Roman" w:hAnsi="Times New Roman" w:cs="Times New Roman"/>
                <w:sz w:val="21"/>
                <w:szCs w:val="21"/>
                <w:vertAlign w:val="baseline"/>
                <w:lang w:val="en-US" w:eastAsia="zh-CN"/>
              </w:rPr>
              <w:t>’</w:t>
            </w:r>
            <w:r>
              <w:rPr>
                <w:rFonts w:hint="eastAsia" w:ascii="Times New Roman" w:hAnsi="Times New Roman" w:cs="Times New Roman"/>
                <w:sz w:val="21"/>
                <w:szCs w:val="21"/>
                <w:vertAlign w:val="baseline"/>
                <w:lang w:val="en-US" w:eastAsia="zh-CN"/>
              </w:rPr>
              <w:t>s onboard SMS, taking into account the relevant IMO Guidelines.</w:t>
            </w:r>
          </w:p>
        </w:tc>
      </w:tr>
      <w:tr w14:paraId="55E14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7A1D348A">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Marshall Islands</w:t>
            </w:r>
          </w:p>
        </w:tc>
        <w:tc>
          <w:tcPr>
            <w:tcW w:w="1180" w:type="dxa"/>
            <w:noWrap w:val="0"/>
            <w:vAlign w:val="center"/>
          </w:tcPr>
          <w:p w14:paraId="67528AE1">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269161C9">
            <w:pPr>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Marine Notice No. 2-011-62</w:t>
            </w:r>
            <w:r>
              <w:rPr>
                <w:rFonts w:hint="eastAsia" w:ascii="Times New Roman" w:hAnsi="Times New Roman" w:cs="Times New Roman"/>
                <w:sz w:val="21"/>
                <w:szCs w:val="21"/>
                <w:vertAlign w:val="baseline"/>
                <w:lang w:val="en-US" w:eastAsia="zh-CN"/>
              </w:rPr>
              <w:t>, the Administrator does not require lifting appliances with a safe working load (SWL) below 1000kg to comply with the SOLAS Regulation II-1/3-13.2 provisions for design, construction and installation. Certification of any lifting appliance below 1000kg in accordance with any Class Rules is voluntary.</w:t>
            </w:r>
          </w:p>
        </w:tc>
      </w:tr>
      <w:tr w14:paraId="33AEA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5ED40A02">
            <w:pPr>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Panama</w:t>
            </w:r>
          </w:p>
        </w:tc>
        <w:tc>
          <w:tcPr>
            <w:tcW w:w="1180" w:type="dxa"/>
            <w:noWrap w:val="0"/>
            <w:vAlign w:val="center"/>
          </w:tcPr>
          <w:p w14:paraId="41ACE082">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4810D43A">
            <w:pPr>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PMA26076, this administration considers that lifting appliances with a SWL under 1000 kg may comply with SOLAS II-1/2.1 and 2.4 on a voluntary basis. This condition may change in the future; for instance, lifting appliances should be subject to at least a thorough examination every 5 years or at least one load test every 15 years.</w:t>
            </w:r>
          </w:p>
        </w:tc>
      </w:tr>
      <w:tr w14:paraId="72DEE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331C5A52">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Saint Kitts and Nevis</w:t>
            </w:r>
          </w:p>
        </w:tc>
        <w:tc>
          <w:tcPr>
            <w:tcW w:w="1180" w:type="dxa"/>
            <w:noWrap w:val="0"/>
            <w:vAlign w:val="center"/>
          </w:tcPr>
          <w:p w14:paraId="64F462C6">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w:t>
            </w:r>
          </w:p>
        </w:tc>
        <w:tc>
          <w:tcPr>
            <w:tcW w:w="6023" w:type="dxa"/>
            <w:noWrap w:val="0"/>
            <w:vAlign w:val="center"/>
          </w:tcPr>
          <w:p w14:paraId="0447DD46">
            <w:pPr>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LR-RO-2025/01/16</w:t>
            </w:r>
            <w:r>
              <w:rPr>
                <w:rFonts w:hint="eastAsia" w:ascii="Times New Roman" w:hAnsi="Times New Roman" w:cs="Times New Roman"/>
                <w:sz w:val="21"/>
                <w:szCs w:val="21"/>
                <w:vertAlign w:val="baseline"/>
                <w:lang w:val="en-US" w:eastAsia="zh-CN"/>
              </w:rPr>
              <w:t xml:space="preserve"> Reg.1</w:t>
            </w:r>
          </w:p>
        </w:tc>
      </w:tr>
      <w:tr w14:paraId="40307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4753DB4B">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Saudi Arabia</w:t>
            </w:r>
          </w:p>
        </w:tc>
        <w:tc>
          <w:tcPr>
            <w:tcW w:w="1180" w:type="dxa"/>
            <w:noWrap w:val="0"/>
            <w:vAlign w:val="center"/>
          </w:tcPr>
          <w:p w14:paraId="001D0611">
            <w:pPr>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6C4726BC">
            <w:pPr>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 xml:space="preserve">Flag Email CCS NO.TGA26004, </w:t>
            </w:r>
            <w:r>
              <w:rPr>
                <w:rFonts w:hint="default" w:ascii="Times New Roman" w:hAnsi="Times New Roman" w:cs="Times New Roman"/>
                <w:sz w:val="21"/>
                <w:szCs w:val="21"/>
                <w:vertAlign w:val="baseline"/>
                <w:lang w:val="en-US" w:eastAsia="zh-CN"/>
              </w:rPr>
              <w:t>The requirements for certification and testing under the new SOLAS regulation are NOT APPLICABLE to lifting appliances with a Safe Working Load (SWL) below 1,000 kg (whether installed before or after 01 January 2026).</w:t>
            </w:r>
            <w:r>
              <w:rPr>
                <w:rFonts w:hint="eastAsia" w:ascii="Times New Roman" w:hAnsi="Times New Roman" w:cs="Times New Roman"/>
                <w:sz w:val="21"/>
                <w:szCs w:val="21"/>
                <w:vertAlign w:val="baseline"/>
                <w:lang w:val="en-US" w:eastAsia="zh-CN"/>
              </w:rPr>
              <w:t xml:space="preserve"> But①</w:t>
            </w:r>
            <w:r>
              <w:rPr>
                <w:rFonts w:hint="default" w:ascii="Times New Roman" w:hAnsi="Times New Roman" w:cs="Times New Roman"/>
                <w:sz w:val="21"/>
                <w:szCs w:val="21"/>
                <w:vertAlign w:val="baseline"/>
                <w:lang w:val="en-US" w:eastAsia="zh-CN"/>
              </w:rPr>
              <w:t>The equipment must be permanently marked with its SWL.</w:t>
            </w:r>
            <w:r>
              <w:rPr>
                <w:rFonts w:hint="eastAsia" w:ascii="Times New Roman" w:hAnsi="Times New Roman" w:cs="Times New Roman"/>
                <w:sz w:val="21"/>
                <w:szCs w:val="21"/>
                <w:vertAlign w:val="baseline"/>
                <w:lang w:val="en-US" w:eastAsia="zh-CN"/>
              </w:rPr>
              <w:t>②</w:t>
            </w:r>
            <w:r>
              <w:rPr>
                <w:rFonts w:hint="default" w:ascii="Times New Roman" w:hAnsi="Times New Roman" w:cs="Times New Roman"/>
                <w:sz w:val="21"/>
                <w:szCs w:val="21"/>
                <w:vertAlign w:val="baseline"/>
                <w:lang w:val="en-US" w:eastAsia="zh-CN"/>
              </w:rPr>
              <w:t>Documentary evidence of the SWL must be maintained onboard.</w:t>
            </w:r>
            <w:r>
              <w:rPr>
                <w:rFonts w:hint="eastAsia" w:ascii="Times New Roman" w:hAnsi="Times New Roman" w:cs="Times New Roman"/>
                <w:sz w:val="21"/>
                <w:szCs w:val="21"/>
                <w:vertAlign w:val="baseline"/>
                <w:lang w:val="en-US" w:eastAsia="zh-CN"/>
              </w:rPr>
              <w:t>③</w:t>
            </w:r>
            <w:r>
              <w:rPr>
                <w:rFonts w:hint="default" w:ascii="Times New Roman" w:hAnsi="Times New Roman" w:cs="Times New Roman"/>
                <w:sz w:val="21"/>
                <w:szCs w:val="21"/>
                <w:vertAlign w:val="baseline"/>
                <w:lang w:val="en-US" w:eastAsia="zh-CN"/>
              </w:rPr>
              <w:t>Shipowners and operators must conduct a risk assessment for the usage of such equipment and incorporate specific procedures for inspection, maintenance, and crew training into the ship’s Safety Management System (SMS).</w:t>
            </w:r>
          </w:p>
        </w:tc>
      </w:tr>
      <w:tr w14:paraId="450A8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46B5EFDB">
            <w:pPr>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Singapore</w:t>
            </w:r>
          </w:p>
        </w:tc>
        <w:tc>
          <w:tcPr>
            <w:tcW w:w="1180" w:type="dxa"/>
            <w:noWrap w:val="0"/>
            <w:vAlign w:val="center"/>
          </w:tcPr>
          <w:p w14:paraId="2C78B477">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47FC68B1">
            <w:pPr>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Flag Email CCS NO.</w:t>
            </w:r>
            <w:r>
              <w:rPr>
                <w:rFonts w:hint="default" w:ascii="Times New Roman" w:hAnsi="Times New Roman" w:cs="Times New Roman"/>
                <w:sz w:val="21"/>
                <w:szCs w:val="21"/>
                <w:vertAlign w:val="baseline"/>
                <w:lang w:val="en-US" w:eastAsia="zh-CN"/>
              </w:rPr>
              <w:t>MPA25038</w:t>
            </w:r>
            <w:r>
              <w:rPr>
                <w:rFonts w:hint="eastAsia" w:ascii="Times New Roman" w:hAnsi="Times New Roman" w:cs="Times New Roman"/>
                <w:sz w:val="21"/>
                <w:szCs w:val="21"/>
                <w:vertAlign w:val="baseline"/>
                <w:lang w:val="en-US" w:eastAsia="zh-CN"/>
              </w:rPr>
              <w:t>, All lifting appliances with a SWL of below 1000kg used on board SRS shall be addressed through the related conditions in relation to the ISM Code (Element 10-Maintenance of the Ship and Equipment)and MLC(Title 4,Regulation 4.3-Health and Safety Protection and accident Prevention)</w:t>
            </w:r>
          </w:p>
        </w:tc>
      </w:tr>
      <w:tr w14:paraId="5BD2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50147A4A">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St. Vincent and the Grenadines</w:t>
            </w:r>
          </w:p>
        </w:tc>
        <w:tc>
          <w:tcPr>
            <w:tcW w:w="1180" w:type="dxa"/>
            <w:noWrap w:val="0"/>
            <w:vAlign w:val="center"/>
          </w:tcPr>
          <w:p w14:paraId="00915CAC">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1C9E6268">
            <w:pPr>
              <w:jc w:val="left"/>
              <w:rPr>
                <w:rFonts w:hint="eastAsia"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SVG25010</w:t>
            </w:r>
            <w:r>
              <w:rPr>
                <w:rFonts w:hint="eastAsia" w:ascii="Times New Roman" w:hAnsi="Times New Roman" w:cs="Times New Roman"/>
                <w:sz w:val="21"/>
                <w:szCs w:val="21"/>
                <w:vertAlign w:val="baseline"/>
                <w:lang w:val="en-US" w:eastAsia="zh-CN"/>
              </w:rPr>
              <w:t xml:space="preserve"> Reg.4 and 6,①All lifting appliances and associated loose gear must be permanently marked with their Safe Working Load (SWL) and supported by documentary evidence. In addition:</w:t>
            </w:r>
          </w:p>
          <w:p w14:paraId="2792DE44">
            <w:pPr>
              <w:jc w:val="left"/>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·New installations (installed on/after 1 January 2026): Maintenance, operation, inspection and testing shall be as per SOLAS II-1/3-13, para.3</w:t>
            </w:r>
          </w:p>
          <w:p w14:paraId="6F036026">
            <w:pPr>
              <w:jc w:val="left"/>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·Existing installations (installed before 1 January 2026): Testing and maintenance of such appliances to be carried out under the ship’s Safety Management System (SMS) by a responsible person on board. Alternatively, full proof load testing under MSC.1/Circ.1663 is required.</w:t>
            </w:r>
          </w:p>
          <w:p w14:paraId="60BCD8F7">
            <w:pPr>
              <w:jc w:val="left"/>
              <w:rPr>
                <w:rFonts w:hint="eastAsia" w:ascii="Times New Roman" w:hAnsi="Times New Roman" w:eastAsia="宋体"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 xml:space="preserve">②The lifting appliances with SWL &lt; 1000 kg installed before 1 Jan 2026, </w:t>
            </w:r>
            <w:r>
              <w:rPr>
                <w:rFonts w:hint="eastAsia" w:ascii="Times New Roman" w:hAnsi="Times New Roman" w:cs="Times New Roman"/>
                <w:b/>
                <w:bCs/>
                <w:sz w:val="21"/>
                <w:szCs w:val="21"/>
                <w:vertAlign w:val="baseline"/>
                <w:lang w:val="en-US" w:eastAsia="zh-CN"/>
              </w:rPr>
              <w:t>not</w:t>
            </w:r>
            <w:r>
              <w:rPr>
                <w:rFonts w:hint="eastAsia" w:ascii="Times New Roman" w:hAnsi="Times New Roman" w:cs="Times New Roman"/>
                <w:sz w:val="21"/>
                <w:szCs w:val="21"/>
                <w:vertAlign w:val="baseline"/>
                <w:lang w:val="en-US" w:eastAsia="zh-CN"/>
              </w:rPr>
              <w:t xml:space="preserve"> certified to an acceptable standard as reflected in this circular at the first Cargo Ship Safety Construction Renewal Survey or Passenger Ship Safety Survey after 1 Jan 2026</w:t>
            </w:r>
          </w:p>
        </w:tc>
      </w:tr>
      <w:tr w14:paraId="2576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68C852CA">
            <w:pPr>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Thailand</w:t>
            </w:r>
          </w:p>
        </w:tc>
        <w:tc>
          <w:tcPr>
            <w:tcW w:w="1180" w:type="dxa"/>
            <w:noWrap w:val="0"/>
            <w:vAlign w:val="center"/>
          </w:tcPr>
          <w:p w14:paraId="3D42BF38">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49927F16">
            <w:pPr>
              <w:jc w:val="left"/>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Marine Department Notification No. 270/2568 Reg.5（5）</w:t>
            </w:r>
          </w:p>
          <w:p w14:paraId="6CE41528">
            <w:pPr>
              <w:jc w:val="left"/>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Flag State Instruction Ref. No.: 1/2025</w:t>
            </w:r>
          </w:p>
        </w:tc>
      </w:tr>
      <w:tr w14:paraId="3DA01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9" w:type="dxa"/>
            <w:noWrap w:val="0"/>
            <w:vAlign w:val="center"/>
          </w:tcPr>
          <w:p w14:paraId="6E8AB677">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Vanuatu</w:t>
            </w:r>
          </w:p>
        </w:tc>
        <w:tc>
          <w:tcPr>
            <w:tcW w:w="1180" w:type="dxa"/>
            <w:noWrap w:val="0"/>
            <w:vAlign w:val="center"/>
          </w:tcPr>
          <w:p w14:paraId="45C7CD2B">
            <w:pPr>
              <w:jc w:val="center"/>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X</w:t>
            </w:r>
          </w:p>
        </w:tc>
        <w:tc>
          <w:tcPr>
            <w:tcW w:w="6023" w:type="dxa"/>
            <w:noWrap w:val="0"/>
            <w:vAlign w:val="center"/>
          </w:tcPr>
          <w:p w14:paraId="296C6C09">
            <w:pPr>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 xml:space="preserve">FLEET SAFETY LETTER 040825.GEN </w:t>
            </w:r>
            <w:r>
              <w:rPr>
                <w:rFonts w:hint="eastAsia" w:ascii="Times New Roman" w:hAnsi="Times New Roman" w:cs="Times New Roman"/>
                <w:sz w:val="21"/>
                <w:szCs w:val="21"/>
                <w:vertAlign w:val="baseline"/>
                <w:lang w:val="en-US" w:eastAsia="zh-CN"/>
              </w:rPr>
              <w:t>Reg.2, such appliances shall be permanently marked and supported with documentary evidence of their SWL.</w:t>
            </w:r>
          </w:p>
        </w:tc>
      </w:tr>
    </w:tbl>
    <w:p w14:paraId="0CD4D789">
      <w:pP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Remark: </w:t>
      </w:r>
    </w:p>
    <w:p w14:paraId="6F23C3A9">
      <w:pP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SWL of less than 1000 kg</w:t>
      </w:r>
      <w:r>
        <w:rPr>
          <w:rFonts w:hint="eastAsia" w:ascii="Times New Roman" w:hAnsi="Times New Roman" w:cs="Times New Roman"/>
          <w:sz w:val="21"/>
          <w:szCs w:val="21"/>
          <w:lang w:val="en-US" w:eastAsia="zh-CN"/>
        </w:rPr>
        <w:t xml:space="preserve"> applicable to SOLAS II-1/3-13 Reg.2.1 and 2.4</w:t>
      </w:r>
    </w:p>
    <w:p w14:paraId="0A0628CC">
      <w:pPr>
        <w:rPr>
          <w:rFonts w:hint="default" w:ascii="Times New Roman" w:hAnsi="Times New Roman" w:cs="Times New Roman"/>
          <w:sz w:val="21"/>
          <w:szCs w:val="21"/>
          <w:lang w:val="en-US" w:eastAsia="zh-CN"/>
        </w:rPr>
      </w:pPr>
      <w:r>
        <w:rPr>
          <w:rFonts w:hint="eastAsia" w:ascii="Times New Roman" w:hAnsi="Times New Roman" w:cs="Times New Roman"/>
          <w:sz w:val="21"/>
          <w:szCs w:val="21"/>
          <w:vertAlign w:val="baseline"/>
          <w:lang w:val="en-US" w:eastAsia="zh-CN"/>
        </w:rPr>
        <w:t xml:space="preserve">※-- </w:t>
      </w:r>
      <w:r>
        <w:rPr>
          <w:rFonts w:hint="eastAsia" w:ascii="Times New Roman" w:hAnsi="Times New Roman" w:cs="Times New Roman"/>
          <w:sz w:val="21"/>
          <w:szCs w:val="21"/>
          <w:lang w:val="en-US" w:eastAsia="zh-CN"/>
        </w:rPr>
        <w:t>not applicable to SOLAS II-1/3-13 Reg.2.1 and 2.4 but comply with</w:t>
      </w:r>
      <w:r>
        <w:rPr>
          <w:rFonts w:hint="eastAsia" w:ascii="Times New Roman" w:hAnsi="Times New Roman" w:cs="Times New Roman"/>
          <w:sz w:val="21"/>
          <w:szCs w:val="21"/>
          <w:vertAlign w:val="baseline"/>
          <w:lang w:val="en-US" w:eastAsia="zh-CN"/>
        </w:rPr>
        <w:t xml:space="preserve"> flag regulation</w:t>
      </w:r>
    </w:p>
    <w:p w14:paraId="3553A826">
      <w:r>
        <w:rPr>
          <w:rFonts w:hint="eastAsia" w:ascii="Times New Roman" w:hAnsi="Times New Roman" w:cs="Times New Roman"/>
          <w:sz w:val="21"/>
          <w:szCs w:val="21"/>
          <w:lang w:val="en-US" w:eastAsia="zh-CN"/>
        </w:rPr>
        <w:t xml:space="preserve">X-- </w:t>
      </w:r>
      <w:r>
        <w:rPr>
          <w:rFonts w:hint="default" w:ascii="Times New Roman" w:hAnsi="Times New Roman" w:cs="Times New Roman"/>
          <w:sz w:val="21"/>
          <w:szCs w:val="21"/>
          <w:lang w:val="en-US" w:eastAsia="zh-CN"/>
        </w:rPr>
        <w:t>SWL of less than 1000 kg</w:t>
      </w:r>
      <w:r>
        <w:rPr>
          <w:rFonts w:hint="eastAsia" w:ascii="Times New Roman" w:hAnsi="Times New Roman" w:cs="Times New Roman"/>
          <w:sz w:val="21"/>
          <w:szCs w:val="21"/>
          <w:lang w:val="en-US" w:eastAsia="zh-CN"/>
        </w:rPr>
        <w:t xml:space="preserve"> not applicable to SOLAS II-1/3-13 Reg.2.1 and 2.4</w:t>
      </w:r>
    </w:p>
    <w:p w14:paraId="4AFAA134"/>
    <w:p w14:paraId="75BD5C1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86F1A"/>
    <w:rsid w:val="07D63653"/>
    <w:rsid w:val="2A2A434E"/>
    <w:rsid w:val="31F030B4"/>
    <w:rsid w:val="41125128"/>
    <w:rsid w:val="49F51014"/>
    <w:rsid w:val="54E56DB8"/>
    <w:rsid w:val="557355CF"/>
    <w:rsid w:val="5A140D5A"/>
    <w:rsid w:val="61E11B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1525</Words>
  <Characters>8604</Characters>
  <Lines>0</Lines>
  <Paragraphs>0</Paragraphs>
  <TotalTime>0</TotalTime>
  <ScaleCrop>false</ScaleCrop>
  <LinksUpToDate>false</LinksUpToDate>
  <CharactersWithSpaces>9971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2026-05-22T05:55:00Z</dcterms:created>
  <dc:creator>angranfeng</dc:creator>
  <cp:lastModifiedBy>user</cp:lastModifiedBy>
  <dcterms:modified xsi:type="dcterms:W3CDTF">2026-05-26T06:49:22Z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eyJoZGlkIjoiZmFlMTQ5Njg1ZjcyMTFlZGM1Y2M1ZmU3MzJiMTc2ZTUiLCJ1c2VySWQiOiI1Mjk3NTEwNjYifQ==</vt:lpwstr>
  </property>
  <property fmtid="{D5CDD505-2E9C-101B-9397-08002B2CF9AE}" pid="4" name="ICV">
    <vt:lpwstr>02F812B4C5C040169A7F9FB06C471412_12</vt:lpwstr>
  </property>
</Properties>
</file>